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Денежные выплаты членам семей погибших военнослужащих 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Единовременные выплаты</w:t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945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3"/>
              </w:numPr>
              <w:ind w:left="22" w:firstLine="0"/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Единовременная выплата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5 000 000,00 руб.</w:t>
            </w:r>
            <w:r>
              <w:rPr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Указ Президента Российской Федерации от 5 марта 2022 г.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Приказ МО РФ от 22 апреля 2022 г. № 236 (определен порядок назначения и осуществления единовременных выплат по Указу № 98)</w:t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Единовременное пособие в случае гибели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страховой компанией АО «СОГАЗ»</w:t>
            </w:r>
            <w:r>
              <w:rPr>
                <w:rFonts w:ascii="Times New Roman" w:hAnsi="Times New Roman" w:cs="Times New Roman"/>
                <w:szCs w:val="26"/>
                <w:highlight w:val="yellow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left="34" w:firstLine="6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4 697 594,34 руб.</w:t>
            </w: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</w:r>
          </w:p>
          <w:p>
            <w:pPr>
              <w:ind w:left="34" w:firstLine="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34" w:firstLine="6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7 ноября 2011 г. № 306-ФЗ «О денежном довольствии военнослужащих и предоставлении им отдельных выплат»  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Приказ МО РФ от 6 мая 2012 г. № 1100 (определен порядок выплат по № 306-ФЗ 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Страховая сумма в случае гибели (смерти)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застрахованного лица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страховой компанией АО «СОГАЗ»</w:t>
            </w:r>
            <w:r>
              <w:rPr>
                <w:rFonts w:ascii="Times New Roman" w:hAnsi="Times New Roman" w:cs="Times New Roman"/>
                <w:szCs w:val="26"/>
                <w:highlight w:val="yellow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left="34" w:firstLine="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3 131 729,56 руб.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</w:p>
          <w:p>
            <w:pPr>
              <w:ind w:left="34" w:firstLine="6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28 марта 1998 г. № 52-ФЗ «Об обязательном государственном страховании жизни и здоровья военнослужащих…»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ind w:left="3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ind w:left="34" w:firstLine="6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  <w:lang w:bidi="ru-RU"/>
              </w:rPr>
              <w:t xml:space="preserve">Постановление Правительства Российской Федерации от 29 июля 1998 г. № 855 (перечень документов)</w:t>
            </w:r>
            <w:r>
              <w:rPr>
                <w:rFonts w:ascii="Times New Roman" w:hAnsi="Times New Roman" w:cs="Times New Roman"/>
                <w:i/>
                <w:iCs/>
                <w:lang w:bidi="ru-RU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О мерах по реализации Федерального закона "Об обязательном государственном страховании жизни и здоровья военнослужащих...»»</w:t>
            </w:r>
            <w:r>
              <w:rPr>
                <w:rFonts w:ascii="Times New Roman" w:hAnsi="Times New Roman" w:cs="Times New Roman"/>
                <w:bCs/>
                <w:i/>
              </w:rPr>
            </w:r>
          </w:p>
        </w:tc>
      </w:tr>
    </w:tbl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708"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Ежемесячные выплаты</w:t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tbl>
      <w:tblPr>
        <w:tblStyle w:val="945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"/>
              </w:num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Ежемесячная денежная компенсация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>
              <w:rPr>
                <w:rFonts w:ascii="Times New Roman" w:hAnsi="Times New Roman" w:cs="Times New Roman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b/>
              </w:rPr>
              <w:t xml:space="preserve">Министерством обороны</w:t>
            </w:r>
            <w:r/>
            <w:r/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3 653,69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10 961,05   руб.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зависимости от состава семьи: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одному члену семьи – 10 961,05 руб.,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двум членам семьи – 7 307,37 руб. (каждому), трем членам семьи – 5 480,53 руб. (каждому), четырем членам семьи– 4 384,72руб. (каждому), пяти членам семьи – 3 653,69 руб. (каждому).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7 ноября 2011 г. № 306-ФЗ «О денежном довольствии военнослужащих и предоставлении им отдельных выплат»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"/>
              </w:numPr>
              <w:ind w:left="0" w:firstLine="22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Пенсия по потере кормильца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22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pStyle w:val="938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 50% от суммы денежного довольствия военнослужащего, (ОВЗ+ОВД+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НВСЛ) 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случае гибели (смерти) военнослужащих;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2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40% - семьям лиц, умерших вследствие причин, не связанных непосредственно с выполнением обязанностей военной службы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>
              <w:rPr>
                <w:rFonts w:ascii="Times New Roman" w:hAnsi="Times New Roman" w:cs="Times New Roman"/>
                <w:b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военным комиссариатом по месту жительства членов семьи</w:t>
            </w:r>
            <w:r>
              <w:rPr>
                <w:rFonts w:ascii="Times New Roman" w:hAnsi="Times New Roman" w:cs="Times New Roman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pStyle w:val="938"/>
              <w:ind w:left="709" w:hang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6 792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29 101 руб.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9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pStyle w:val="938"/>
              <w:ind w:left="95"/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Закон Российской Федерации от 12 февраля 1993 г. № 4468-I «О пенсионном обеспечении лиц, проходивших военную службу…»</w:t>
            </w:r>
            <w:r>
              <w:rPr>
                <w:rFonts w:ascii="Times New Roman" w:hAnsi="Times New Roman" w:cs="Times New Roman"/>
                <w:i/>
                <w:highlight w:val="yellow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"/>
              </w:numPr>
              <w:ind w:left="0" w:firstLine="22"/>
              <w:jc w:val="both"/>
              <w:spacing w:after="160" w:line="259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Пенсия по потере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0" w:firstLine="22"/>
              <w:tabs>
                <w:tab w:val="left" w:pos="306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кормильца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 каждого нетрудоспособного члена семьи,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погибшего (умершего) военнослужащего –200% размера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социальной пенсии.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Социальным фондом России (СФР)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15 декабря 2001г. № 166-ФЗ «О государственном пенсионном обеспечении в Российской Федерации»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Закон РФ от 12 февраля 1993 г. N 4468-I</w:t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"О пенсионном обеспечении лиц, проходивших военную службу…"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ind w:left="22" w:firstLine="0"/>
              <w:tabs>
                <w:tab w:val="left" w:pos="22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4. Ежемесячное пособие детям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 xml:space="preserve">военнослужащих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, погибших при исполнении обязанностей военной службы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(дети до 18 лет и обучающимся до 23 лет)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индексируется</w:t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0" w:hanging="1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Выплата осуществляется Социальным фондом России (СФР)</w:t>
            </w:r>
            <w:r/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pStyle w:val="938"/>
              <w:ind w:left="709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2 668,57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709" w:hanging="669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4 июня 2011 г. № 128-Ф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З «О пособии детям военнослужащих...»</w:t>
            </w:r>
            <w:r>
              <w:rPr>
                <w:rFonts w:ascii="Times New Roman" w:hAnsi="Times New Roman" w:cs="Times New Roman"/>
                <w:bCs/>
                <w:i/>
              </w:rPr>
            </w:r>
          </w:p>
          <w:p>
            <w:pPr>
              <w:pStyle w:val="938"/>
              <w:ind w:left="709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Другие выплаты</w:t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tbl>
      <w:tblPr>
        <w:tblStyle w:val="945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5"/>
              </w:num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Оплата услуг по погребению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военным комиссариатом по месту жительства членов семьи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48 000 руб.</w:t>
            </w:r>
            <w:r>
              <w:rPr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(в г. Москве и г. Санкт-Петербурге - </w:t>
            </w:r>
            <w:r>
              <w:rPr>
                <w:rFonts w:ascii="Times New Roman" w:hAnsi="Times New Roman" w:cs="Times New Roman"/>
                <w:bCs/>
              </w:rPr>
              <w:t xml:space="preserve">66 000 руб.)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7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Постановление Правительства РФ от 6 мая 1994 г.   № 460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«О нормах расходов денежных средств на погребение погибших (умерших) военнослужащих...»</w:t>
            </w:r>
            <w:r>
              <w:rPr>
                <w:rFonts w:ascii="Times New Roman" w:hAnsi="Times New Roman" w:cs="Times New Roman"/>
                <w:bCs/>
                <w:i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5"/>
              </w:num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Оплата расходов на изготовление и установку надгробий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военным комиссариатом по месту жительства членов семьи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firstLine="7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погибшим (умершим) военнослужащим, проходившим военную службу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 призыву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–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до 33 005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погибшим (умершим) военнослужащим, проходившим военную службу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 контракту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– до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41 196 руб.</w:t>
            </w:r>
            <w:r>
              <w:rPr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Постановление Правительства РФ от 6 мая 1994 г.   № 460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«О нормах расходов денежных средств на погребение погибших (умерших) военнослужащих...»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5"/>
              </w:num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Ежегодная выплата на проведение оздоровительного отдыха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(на каждого ребенка школьного возраста)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i/>
                <w:szCs w:val="26"/>
              </w:rPr>
              <w:t xml:space="preserve">Выплата индекси</w:t>
            </w:r>
            <w:r>
              <w:rPr>
                <w:rFonts w:ascii="Times New Roman" w:hAnsi="Times New Roman" w:cs="Times New Roman"/>
                <w:i/>
                <w:szCs w:val="26"/>
              </w:rPr>
              <w:t xml:space="preserve">руется</w:t>
            </w:r>
            <w:r>
              <w:rPr>
                <w:rFonts w:ascii="Times New Roman" w:hAnsi="Times New Roman" w:cs="Times New Roman"/>
                <w:i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Социальным фондом России (СФР)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firstLine="7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29 511,36 руб.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firstLine="708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Постановление Правительства РФ от 31 декабря 2004 г.   № 911  «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О порядке оказания медицинской помощи, возмещения расходов на ее оказание...»</w:t>
            </w:r>
            <w:r>
              <w:rPr>
                <w:rFonts w:ascii="Times New Roman" w:hAnsi="Times New Roman" w:cs="Times New Roman"/>
                <w:bCs/>
                <w:i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pStyle w:val="938"/>
              <w:numPr>
                <w:ilvl w:val="0"/>
                <w:numId w:val="15"/>
              </w:numPr>
              <w:ind w:left="0" w:firstLine="22"/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Выплата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денежного довольствия,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погибшего (умершего) военнослужащего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Членам семей погибших (умерших) выплачиваются не полученные им ко дню смерти (гибели): оклады денежного содержания и ежемесячные дополнительные выплаты (в том числе за месяц, в котором военнослужащий умер, погиб);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иные дополнительные выплаты, право на которые возникло при жизни военнослужащего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Приказ Министра обороны Российской Федерации         от 6 декабря 2019 г. № 727 «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Об определении Порядка обеспечения денежным довольствием военнослужащих...»</w:t>
            </w:r>
            <w:r>
              <w:rPr>
                <w:rFonts w:ascii="Times New Roman" w:hAnsi="Times New Roman" w:cs="Times New Roman"/>
                <w:bCs/>
                <w:i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5. Единовременное поощрение в случае посмертного награждения военнослужащего государственной наградой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ind w:firstLine="709"/>
              <w:jc w:val="both"/>
              <w:widowControl w:val="off"/>
              <w:rPr>
                <w:rFonts w:ascii="Times New Roman" w:hAnsi="Times New Roman" w:eastAsia="Tahoma" w:cs="Times New Roman"/>
                <w:bCs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  <w:t xml:space="preserve">Размер поощрения составляет </w:t>
            </w:r>
            <w:r>
              <w:rPr>
                <w:rFonts w:ascii="Times New Roman" w:hAnsi="Times New Roman" w:eastAsia="Tahoma" w:cs="Times New Roman"/>
                <w:bCs/>
                <w:color w:val="000000"/>
                <w:sz w:val="26"/>
                <w:szCs w:val="26"/>
                <w:lang w:bidi="ru-RU"/>
              </w:rPr>
              <w:t xml:space="preserve">пять окладов месячного денежного содержания военнослужащего (оклад по воинской должности + оклад по воинскому званию).</w:t>
            </w:r>
            <w:r>
              <w:rPr>
                <w:rFonts w:ascii="Times New Roman" w:hAnsi="Times New Roman" w:eastAsia="Tahoma" w:cs="Times New Roman"/>
                <w:bCs/>
                <w:color w:val="000000"/>
                <w:sz w:val="26"/>
                <w:szCs w:val="26"/>
                <w:lang w:bidi="ru-RU"/>
              </w:rPr>
            </w:r>
          </w:p>
          <w:p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7 ноября 2011 г. № 306-ФЗ    </w:t>
            </w:r>
            <w:r>
              <w:rPr>
                <w:rFonts w:ascii="Times New Roman" w:hAnsi="Times New Roman" w:cs="Times New Roman"/>
                <w:i/>
              </w:rPr>
              <w:t xml:space="preserve">   «</w:t>
            </w:r>
            <w:r>
              <w:rPr>
                <w:rFonts w:ascii="Times New Roman" w:hAnsi="Times New Roman" w:cs="Times New Roman"/>
                <w:i/>
              </w:rPr>
              <w:t xml:space="preserve">О денежном довольствии военнослужащих и предоставлении им отдельных выплат» и 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Указ Президента РФ от 25 июля 2006 г. № 765 «О единовременном поощрении лиц, проходящих (проходивших) федеральную государственную службу»</w:t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6. Оплата расходов на проезд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возмещаются расходы, связанные с проездом железнодорожным, воздушным, водным и автомобильным (за исключением такси) транспортом: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членам семей (не более трех человек) и родителям погибших (умерших) военнослужащих- граждан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к месту погребения военнослужащего-гражданина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и обратно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случае его гибели (смерти);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родителей и одного из членов семьи погибшего (умершего) военнослужащего-гражданина – к месту погребения военнослужащего-гражданина и обратно один раз в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bCs/>
                <w:i/>
                <w:highlight w:val="none"/>
              </w:rPr>
            </w:pPr>
            <w:r>
              <w:rPr>
                <w:rFonts w:ascii="Times New Roman" w:hAnsi="Times New Roman" w:cs="Times New Roman"/>
                <w:i/>
              </w:rPr>
              <w:t xml:space="preserve">Федеральный закон от 27 мая 1998 г. № 76-ФЗ «О статусе военнослужащих»</w:t>
            </w:r>
            <w:r>
              <w:rPr>
                <w:rFonts w:ascii="Times New Roman" w:hAnsi="Times New Roman" w:cs="Times New Roman"/>
                <w:bCs/>
                <w:i/>
                <w:highlight w:val="none"/>
              </w:rPr>
            </w:r>
          </w:p>
          <w:p>
            <w:pPr>
              <w:jc w:val="both"/>
              <w:widowControl w:val="off"/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</w:r>
          </w:p>
          <w:p>
            <w:pPr>
              <w:ind w:left="0" w:right="0" w:firstLine="0"/>
              <w:jc w:val="both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</w:rPr>
              <w:t xml:space="preserve">Приказ Министра обороны РФ от 8 июня 2000 г. N 300</w:t>
            </w:r>
            <w:r/>
          </w:p>
          <w:p>
            <w:pPr>
              <w:jc w:val="both"/>
              <w:widowControl w:val="off"/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</w:rPr>
              <w:t xml:space="preserve">«О мерах по выполнению постановления Правительства Российской Федерации от 20 апреля 2000 г. N 354 "О порядке возмещения расходов, связанных с перевозкой военнослужащих…»</w:t>
            </w:r>
            <w:r>
              <w:rPr>
                <w:rFonts w:ascii="Times New Roman" w:hAnsi="Times New Roman" w:cs="Times New Roman"/>
                <w:i/>
                <w:highlight w:val="none"/>
              </w:rPr>
            </w:r>
            <w:r>
              <w:rPr>
                <w:rFonts w:ascii="Times New Roman" w:hAnsi="Times New Roman" w:eastAsia="Tahoma" w:cs="Times New Roman"/>
                <w:color w:val="000000"/>
                <w:sz w:val="26"/>
                <w:szCs w:val="26"/>
                <w:lang w:eastAsia="en-US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ind w:left="22" w:firstLine="0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 xml:space="preserve">7. Члены семьи военнослужащего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– гражданина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 xml:space="preserve">при переезде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на избранное место жительства в связи с гибелью (смертью) военнослужащего-гражданина имеют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 xml:space="preserve">право на бесплатный перевоз до 20 тонн личного имущества в контейнерах железнодорожным транспортом, а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там, где нет железнодорожного транспорта, – другими видами транспорта (за исключением воздушного).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938"/>
              <w:ind w:left="22"/>
              <w:tabs>
                <w:tab w:val="left" w:pos="375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Выплата осуществляется Министерством обороны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522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Постановление Правительства Российской Федерации от 20 апреля 2000 г.     № 354 «О порядке возмещения расходов, связанных с перевозкой военнослужащих, граждан, уволенных с военной службы, и членов их семей, а также личного имущества»</w:t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jc w:val="right"/>
      <w:rPr>
        <w:i/>
      </w:rPr>
    </w:pPr>
    <w:r>
      <w:rPr>
        <w:i/>
      </w:rPr>
      <w:t xml:space="preserve">Карточка</w:t>
    </w:r>
    <w:r>
      <w:rPr>
        <w:i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546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61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9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76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83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90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7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05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122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7"/>
  </w:num>
  <w:num w:numId="14">
    <w:abstractNumId w:val="4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6">
    <w:name w:val="Heading 1 Char"/>
    <w:basedOn w:val="771"/>
    <w:link w:val="762"/>
    <w:uiPriority w:val="9"/>
    <w:rPr>
      <w:rFonts w:ascii="Arial" w:hAnsi="Arial" w:eastAsia="Arial" w:cs="Arial"/>
      <w:sz w:val="40"/>
      <w:szCs w:val="40"/>
    </w:rPr>
  </w:style>
  <w:style w:type="character" w:styleId="747">
    <w:name w:val="Heading 2 Char"/>
    <w:basedOn w:val="771"/>
    <w:link w:val="763"/>
    <w:uiPriority w:val="9"/>
    <w:rPr>
      <w:rFonts w:ascii="Arial" w:hAnsi="Arial" w:eastAsia="Arial" w:cs="Arial"/>
      <w:sz w:val="34"/>
    </w:rPr>
  </w:style>
  <w:style w:type="character" w:styleId="748">
    <w:name w:val="Heading 3 Char"/>
    <w:basedOn w:val="771"/>
    <w:link w:val="764"/>
    <w:uiPriority w:val="9"/>
    <w:rPr>
      <w:rFonts w:ascii="Arial" w:hAnsi="Arial" w:eastAsia="Arial" w:cs="Arial"/>
      <w:sz w:val="30"/>
      <w:szCs w:val="30"/>
    </w:rPr>
  </w:style>
  <w:style w:type="character" w:styleId="749">
    <w:name w:val="Heading 4 Char"/>
    <w:basedOn w:val="771"/>
    <w:link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750">
    <w:name w:val="Heading 5 Char"/>
    <w:basedOn w:val="771"/>
    <w:link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51">
    <w:name w:val="Heading 6 Char"/>
    <w:basedOn w:val="771"/>
    <w:link w:val="767"/>
    <w:uiPriority w:val="9"/>
    <w:rPr>
      <w:rFonts w:ascii="Arial" w:hAnsi="Arial" w:eastAsia="Arial" w:cs="Arial"/>
      <w:b/>
      <w:bCs/>
      <w:sz w:val="22"/>
      <w:szCs w:val="22"/>
    </w:rPr>
  </w:style>
  <w:style w:type="character" w:styleId="752">
    <w:name w:val="Heading 7 Char"/>
    <w:basedOn w:val="771"/>
    <w:link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3">
    <w:name w:val="Heading 8 Char"/>
    <w:basedOn w:val="771"/>
    <w:link w:val="769"/>
    <w:uiPriority w:val="9"/>
    <w:rPr>
      <w:rFonts w:ascii="Arial" w:hAnsi="Arial" w:eastAsia="Arial" w:cs="Arial"/>
      <w:i/>
      <w:iCs/>
      <w:sz w:val="22"/>
      <w:szCs w:val="22"/>
    </w:rPr>
  </w:style>
  <w:style w:type="character" w:styleId="754">
    <w:name w:val="Heading 9 Char"/>
    <w:basedOn w:val="771"/>
    <w:link w:val="770"/>
    <w:uiPriority w:val="9"/>
    <w:rPr>
      <w:rFonts w:ascii="Arial" w:hAnsi="Arial" w:eastAsia="Arial" w:cs="Arial"/>
      <w:i/>
      <w:iCs/>
      <w:sz w:val="21"/>
      <w:szCs w:val="21"/>
    </w:rPr>
  </w:style>
  <w:style w:type="character" w:styleId="755">
    <w:name w:val="Title Char"/>
    <w:basedOn w:val="771"/>
    <w:link w:val="784"/>
    <w:uiPriority w:val="10"/>
    <w:rPr>
      <w:sz w:val="48"/>
      <w:szCs w:val="48"/>
    </w:rPr>
  </w:style>
  <w:style w:type="character" w:styleId="756">
    <w:name w:val="Subtitle Char"/>
    <w:basedOn w:val="771"/>
    <w:link w:val="786"/>
    <w:uiPriority w:val="11"/>
    <w:rPr>
      <w:sz w:val="24"/>
      <w:szCs w:val="24"/>
    </w:rPr>
  </w:style>
  <w:style w:type="character" w:styleId="757">
    <w:name w:val="Quote Char"/>
    <w:link w:val="788"/>
    <w:uiPriority w:val="29"/>
    <w:rPr>
      <w:i/>
    </w:rPr>
  </w:style>
  <w:style w:type="character" w:styleId="758">
    <w:name w:val="Intense Quote Char"/>
    <w:link w:val="790"/>
    <w:uiPriority w:val="30"/>
    <w:rPr>
      <w:i/>
    </w:rPr>
  </w:style>
  <w:style w:type="character" w:styleId="759">
    <w:name w:val="Footnote Text Char"/>
    <w:link w:val="921"/>
    <w:uiPriority w:val="99"/>
    <w:rPr>
      <w:sz w:val="18"/>
    </w:rPr>
  </w:style>
  <w:style w:type="character" w:styleId="760">
    <w:name w:val="Endnote Text Char"/>
    <w:link w:val="924"/>
    <w:uiPriority w:val="99"/>
    <w:rPr>
      <w:sz w:val="20"/>
    </w:rPr>
  </w:style>
  <w:style w:type="paragraph" w:styleId="761" w:default="1">
    <w:name w:val="Normal"/>
    <w:qFormat/>
    <w:rPr>
      <w:rFonts w:eastAsiaTheme="minorEastAsia"/>
      <w:lang w:eastAsia="ru-RU"/>
    </w:rPr>
  </w:style>
  <w:style w:type="paragraph" w:styleId="762">
    <w:name w:val="Heading 1"/>
    <w:basedOn w:val="761"/>
    <w:next w:val="761"/>
    <w:link w:val="77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63">
    <w:name w:val="Heading 2"/>
    <w:basedOn w:val="761"/>
    <w:next w:val="761"/>
    <w:link w:val="7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4">
    <w:name w:val="Heading 3"/>
    <w:basedOn w:val="761"/>
    <w:next w:val="761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5">
    <w:name w:val="Heading 4"/>
    <w:basedOn w:val="761"/>
    <w:next w:val="761"/>
    <w:link w:val="7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761"/>
    <w:next w:val="761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7">
    <w:name w:val="Heading 6"/>
    <w:basedOn w:val="761"/>
    <w:next w:val="761"/>
    <w:link w:val="7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68">
    <w:name w:val="Heading 7"/>
    <w:basedOn w:val="761"/>
    <w:next w:val="761"/>
    <w:link w:val="7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69">
    <w:name w:val="Heading 8"/>
    <w:basedOn w:val="761"/>
    <w:next w:val="761"/>
    <w:link w:val="7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70">
    <w:name w:val="Heading 9"/>
    <w:basedOn w:val="761"/>
    <w:next w:val="761"/>
    <w:link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1" w:default="1">
    <w:name w:val="Default Paragraph Font"/>
    <w:uiPriority w:val="1"/>
    <w:semiHidden/>
    <w:unhideWhenUsed/>
  </w:style>
  <w:style w:type="table" w:styleId="7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3" w:default="1">
    <w:name w:val="No List"/>
    <w:uiPriority w:val="99"/>
    <w:semiHidden/>
    <w:unhideWhenUsed/>
  </w:style>
  <w:style w:type="character" w:styleId="774" w:customStyle="1">
    <w:name w:val="Заголовок 1 Знак"/>
    <w:basedOn w:val="771"/>
    <w:link w:val="762"/>
    <w:uiPriority w:val="9"/>
    <w:rPr>
      <w:rFonts w:ascii="Arial" w:hAnsi="Arial" w:eastAsia="Arial" w:cs="Arial"/>
      <w:sz w:val="40"/>
      <w:szCs w:val="40"/>
    </w:rPr>
  </w:style>
  <w:style w:type="character" w:styleId="775" w:customStyle="1">
    <w:name w:val="Заголовок 2 Знак"/>
    <w:basedOn w:val="771"/>
    <w:link w:val="763"/>
    <w:uiPriority w:val="9"/>
    <w:rPr>
      <w:rFonts w:ascii="Arial" w:hAnsi="Arial" w:eastAsia="Arial" w:cs="Arial"/>
      <w:sz w:val="34"/>
    </w:rPr>
  </w:style>
  <w:style w:type="character" w:styleId="776" w:customStyle="1">
    <w:name w:val="Заголовок 3 Знак"/>
    <w:basedOn w:val="771"/>
    <w:link w:val="764"/>
    <w:uiPriority w:val="9"/>
    <w:rPr>
      <w:rFonts w:ascii="Arial" w:hAnsi="Arial" w:eastAsia="Arial" w:cs="Arial"/>
      <w:sz w:val="30"/>
      <w:szCs w:val="30"/>
    </w:rPr>
  </w:style>
  <w:style w:type="character" w:styleId="777" w:customStyle="1">
    <w:name w:val="Заголовок 4 Знак"/>
    <w:basedOn w:val="771"/>
    <w:link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778" w:customStyle="1">
    <w:name w:val="Заголовок 5 Знак"/>
    <w:basedOn w:val="771"/>
    <w:link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79" w:customStyle="1">
    <w:name w:val="Заголовок 6 Знак"/>
    <w:basedOn w:val="771"/>
    <w:link w:val="767"/>
    <w:uiPriority w:val="9"/>
    <w:rPr>
      <w:rFonts w:ascii="Arial" w:hAnsi="Arial" w:eastAsia="Arial" w:cs="Arial"/>
      <w:b/>
      <w:bCs/>
      <w:sz w:val="22"/>
      <w:szCs w:val="22"/>
    </w:rPr>
  </w:style>
  <w:style w:type="character" w:styleId="780" w:customStyle="1">
    <w:name w:val="Заголовок 7 Знак"/>
    <w:basedOn w:val="771"/>
    <w:link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1" w:customStyle="1">
    <w:name w:val="Заголовок 8 Знак"/>
    <w:basedOn w:val="771"/>
    <w:link w:val="769"/>
    <w:uiPriority w:val="9"/>
    <w:rPr>
      <w:rFonts w:ascii="Arial" w:hAnsi="Arial" w:eastAsia="Arial" w:cs="Arial"/>
      <w:i/>
      <w:iCs/>
      <w:sz w:val="22"/>
      <w:szCs w:val="22"/>
    </w:rPr>
  </w:style>
  <w:style w:type="character" w:styleId="782" w:customStyle="1">
    <w:name w:val="Заголовок 9 Знак"/>
    <w:basedOn w:val="771"/>
    <w:link w:val="770"/>
    <w:uiPriority w:val="9"/>
    <w:rPr>
      <w:rFonts w:ascii="Arial" w:hAnsi="Arial" w:eastAsia="Arial" w:cs="Arial"/>
      <w:i/>
      <w:iCs/>
      <w:sz w:val="21"/>
      <w:szCs w:val="21"/>
    </w:rPr>
  </w:style>
  <w:style w:type="paragraph" w:styleId="783">
    <w:name w:val="No Spacing"/>
    <w:uiPriority w:val="1"/>
    <w:qFormat/>
    <w:pPr>
      <w:spacing w:after="0" w:line="240" w:lineRule="auto"/>
    </w:pPr>
  </w:style>
  <w:style w:type="paragraph" w:styleId="784">
    <w:name w:val="Title"/>
    <w:basedOn w:val="761"/>
    <w:next w:val="761"/>
    <w:link w:val="7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5" w:customStyle="1">
    <w:name w:val="Заголовок Знак"/>
    <w:basedOn w:val="771"/>
    <w:link w:val="784"/>
    <w:uiPriority w:val="10"/>
    <w:rPr>
      <w:sz w:val="48"/>
      <w:szCs w:val="48"/>
    </w:rPr>
  </w:style>
  <w:style w:type="paragraph" w:styleId="786">
    <w:name w:val="Subtitle"/>
    <w:basedOn w:val="761"/>
    <w:next w:val="761"/>
    <w:link w:val="787"/>
    <w:uiPriority w:val="11"/>
    <w:qFormat/>
    <w:pPr>
      <w:spacing w:before="200" w:after="200"/>
    </w:pPr>
    <w:rPr>
      <w:sz w:val="24"/>
      <w:szCs w:val="24"/>
    </w:rPr>
  </w:style>
  <w:style w:type="character" w:styleId="787" w:customStyle="1">
    <w:name w:val="Подзаголовок Знак"/>
    <w:basedOn w:val="771"/>
    <w:link w:val="786"/>
    <w:uiPriority w:val="11"/>
    <w:rPr>
      <w:sz w:val="24"/>
      <w:szCs w:val="24"/>
    </w:rPr>
  </w:style>
  <w:style w:type="paragraph" w:styleId="788">
    <w:name w:val="Quote"/>
    <w:basedOn w:val="761"/>
    <w:next w:val="761"/>
    <w:link w:val="789"/>
    <w:uiPriority w:val="29"/>
    <w:qFormat/>
    <w:pPr>
      <w:ind w:left="720" w:right="720"/>
    </w:pPr>
    <w:rPr>
      <w:i/>
    </w:rPr>
  </w:style>
  <w:style w:type="character" w:styleId="789" w:customStyle="1">
    <w:name w:val="Цитата 2 Знак"/>
    <w:link w:val="788"/>
    <w:uiPriority w:val="29"/>
    <w:rPr>
      <w:i/>
    </w:rPr>
  </w:style>
  <w:style w:type="paragraph" w:styleId="790">
    <w:name w:val="Intense Quote"/>
    <w:basedOn w:val="761"/>
    <w:next w:val="761"/>
    <w:link w:val="79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1" w:customStyle="1">
    <w:name w:val="Выделенная цитата Знак"/>
    <w:link w:val="790"/>
    <w:uiPriority w:val="30"/>
    <w:rPr>
      <w:i/>
    </w:rPr>
  </w:style>
  <w:style w:type="character" w:styleId="792" w:customStyle="1">
    <w:name w:val="Header Char"/>
    <w:basedOn w:val="771"/>
    <w:uiPriority w:val="99"/>
  </w:style>
  <w:style w:type="character" w:styleId="793" w:customStyle="1">
    <w:name w:val="Footer Char"/>
    <w:basedOn w:val="771"/>
    <w:uiPriority w:val="99"/>
  </w:style>
  <w:style w:type="paragraph" w:styleId="794">
    <w:name w:val="Caption"/>
    <w:basedOn w:val="761"/>
    <w:next w:val="76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95" w:customStyle="1">
    <w:name w:val="Caption Char"/>
    <w:uiPriority w:val="99"/>
  </w:style>
  <w:style w:type="table" w:styleId="796" w:customStyle="1">
    <w:name w:val="Table Grid Light"/>
    <w:basedOn w:val="77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7">
    <w:name w:val="Plain Table 1"/>
    <w:basedOn w:val="77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8">
    <w:name w:val="Plain Table 2"/>
    <w:basedOn w:val="77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9">
    <w:name w:val="Plain Table 3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0">
    <w:name w:val="Plain Table 4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Plain Table 5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2">
    <w:name w:val="Grid Table 1 Light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4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4" w:customStyle="1">
    <w:name w:val="Grid Table 4 - Accent 1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25" w:customStyle="1">
    <w:name w:val="Grid Table 4 - Accent 2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6" w:customStyle="1">
    <w:name w:val="Grid Table 4 - Accent 3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7" w:customStyle="1">
    <w:name w:val="Grid Table 4 - Accent 4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8" w:customStyle="1">
    <w:name w:val="Grid Table 4 - Accent 5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9" w:customStyle="1">
    <w:name w:val="Grid Table 4 - Accent 6"/>
    <w:basedOn w:val="7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30">
    <w:name w:val="Grid Table 5 Dark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7">
    <w:name w:val="Grid Table 6 Colorful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8" w:customStyle="1">
    <w:name w:val="Grid Table 6 Colorful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9" w:customStyle="1">
    <w:name w:val="Grid Table 6 Colorful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40" w:customStyle="1">
    <w:name w:val="Grid Table 6 Colorful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41" w:customStyle="1">
    <w:name w:val="Grid Table 6 Colorful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42" w:customStyle="1">
    <w:name w:val="Grid Table 6 Colorful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3" w:customStyle="1">
    <w:name w:val="Grid Table 6 Colorful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44">
    <w:name w:val="Grid Table 7 Colorful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Grid Table 7 Colorful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Grid Table 7 Colorful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Grid Table 7 Colorful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Grid Table 7 Colorful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Grid Table 7 Colorful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Grid Table 7 Colorful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>
    <w:name w:val="List Table 1 Light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1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2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3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4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5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6"/>
    <w:basedOn w:val="7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5">
    <w:name w:val="List Table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5 Dark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>
    <w:name w:val="List Table 6 Colorful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7" w:customStyle="1">
    <w:name w:val="List Table 6 Colorful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8" w:customStyle="1">
    <w:name w:val="List Table 6 Colorful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9" w:customStyle="1">
    <w:name w:val="List Table 6 Colorful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90" w:customStyle="1">
    <w:name w:val="List Table 6 Colorful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91" w:customStyle="1">
    <w:name w:val="List Table 6 Colorful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92" w:customStyle="1">
    <w:name w:val="List Table 6 Colorful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93">
    <w:name w:val="List Table 7 Colorful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List Table 7 Colorful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List Table 7 Colorful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List Table 7 Colorful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List Table 7 Colorful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List Table 7 Colorful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List Table 7 Colorful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ned - Accent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Lined - Accent 1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2" w:customStyle="1">
    <w:name w:val="Lined - Accent 2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3" w:customStyle="1">
    <w:name w:val="Lined - Accent 3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4" w:customStyle="1">
    <w:name w:val="Lined - Accent 4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5" w:customStyle="1">
    <w:name w:val="Lined - Accent 5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6" w:customStyle="1">
    <w:name w:val="Lined - Accent 6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7" w:customStyle="1">
    <w:name w:val="Bordered &amp; Lined - Accent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8" w:customStyle="1">
    <w:name w:val="Bordered &amp; Lined - Accent 1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9" w:customStyle="1">
    <w:name w:val="Bordered &amp; Lined - Accent 2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10" w:customStyle="1">
    <w:name w:val="Bordered &amp; Lined - Accent 3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11" w:customStyle="1">
    <w:name w:val="Bordered &amp; Lined - Accent 4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2" w:customStyle="1">
    <w:name w:val="Bordered &amp; Lined - Accent 5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3" w:customStyle="1">
    <w:name w:val="Bordered &amp; Lined - Accent 6"/>
    <w:basedOn w:val="7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4" w:customStyle="1">
    <w:name w:val="Bordered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5" w:customStyle="1">
    <w:name w:val="Bordered - Accent 1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6" w:customStyle="1">
    <w:name w:val="Bordered - Accent 2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7" w:customStyle="1">
    <w:name w:val="Bordered - Accent 3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8" w:customStyle="1">
    <w:name w:val="Bordered - Accent 4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9" w:customStyle="1">
    <w:name w:val="Bordered - Accent 5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20" w:customStyle="1">
    <w:name w:val="Bordered - Accent 6"/>
    <w:basedOn w:val="7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21">
    <w:name w:val="footnote text"/>
    <w:basedOn w:val="761"/>
    <w:link w:val="922"/>
    <w:uiPriority w:val="99"/>
    <w:semiHidden/>
    <w:unhideWhenUsed/>
    <w:pPr>
      <w:spacing w:after="40" w:line="240" w:lineRule="auto"/>
    </w:pPr>
    <w:rPr>
      <w:sz w:val="18"/>
    </w:rPr>
  </w:style>
  <w:style w:type="character" w:styleId="922" w:customStyle="1">
    <w:name w:val="Текст сноски Знак"/>
    <w:link w:val="921"/>
    <w:uiPriority w:val="99"/>
    <w:rPr>
      <w:sz w:val="18"/>
    </w:rPr>
  </w:style>
  <w:style w:type="character" w:styleId="923">
    <w:name w:val="footnote reference"/>
    <w:basedOn w:val="771"/>
    <w:uiPriority w:val="99"/>
    <w:unhideWhenUsed/>
    <w:rPr>
      <w:vertAlign w:val="superscript"/>
    </w:rPr>
  </w:style>
  <w:style w:type="paragraph" w:styleId="924">
    <w:name w:val="endnote text"/>
    <w:basedOn w:val="761"/>
    <w:link w:val="925"/>
    <w:uiPriority w:val="99"/>
    <w:semiHidden/>
    <w:unhideWhenUsed/>
    <w:pPr>
      <w:spacing w:after="0" w:line="240" w:lineRule="auto"/>
    </w:pPr>
    <w:rPr>
      <w:sz w:val="20"/>
    </w:rPr>
  </w:style>
  <w:style w:type="character" w:styleId="925" w:customStyle="1">
    <w:name w:val="Текст концевой сноски Знак"/>
    <w:link w:val="924"/>
    <w:uiPriority w:val="99"/>
    <w:rPr>
      <w:sz w:val="20"/>
    </w:rPr>
  </w:style>
  <w:style w:type="character" w:styleId="926">
    <w:name w:val="endnote reference"/>
    <w:basedOn w:val="771"/>
    <w:uiPriority w:val="99"/>
    <w:semiHidden/>
    <w:unhideWhenUsed/>
    <w:rPr>
      <w:vertAlign w:val="superscript"/>
    </w:rPr>
  </w:style>
  <w:style w:type="paragraph" w:styleId="927">
    <w:name w:val="toc 1"/>
    <w:basedOn w:val="761"/>
    <w:next w:val="761"/>
    <w:uiPriority w:val="39"/>
    <w:unhideWhenUsed/>
    <w:pPr>
      <w:spacing w:after="57"/>
    </w:pPr>
  </w:style>
  <w:style w:type="paragraph" w:styleId="928">
    <w:name w:val="toc 2"/>
    <w:basedOn w:val="761"/>
    <w:next w:val="761"/>
    <w:uiPriority w:val="39"/>
    <w:unhideWhenUsed/>
    <w:pPr>
      <w:ind w:left="283"/>
      <w:spacing w:after="57"/>
    </w:pPr>
  </w:style>
  <w:style w:type="paragraph" w:styleId="929">
    <w:name w:val="toc 3"/>
    <w:basedOn w:val="761"/>
    <w:next w:val="761"/>
    <w:uiPriority w:val="39"/>
    <w:unhideWhenUsed/>
    <w:pPr>
      <w:ind w:left="567"/>
      <w:spacing w:after="57"/>
    </w:pPr>
  </w:style>
  <w:style w:type="paragraph" w:styleId="930">
    <w:name w:val="toc 4"/>
    <w:basedOn w:val="761"/>
    <w:next w:val="761"/>
    <w:uiPriority w:val="39"/>
    <w:unhideWhenUsed/>
    <w:pPr>
      <w:ind w:left="850"/>
      <w:spacing w:after="57"/>
    </w:pPr>
  </w:style>
  <w:style w:type="paragraph" w:styleId="931">
    <w:name w:val="toc 5"/>
    <w:basedOn w:val="761"/>
    <w:next w:val="761"/>
    <w:uiPriority w:val="39"/>
    <w:unhideWhenUsed/>
    <w:pPr>
      <w:ind w:left="1134"/>
      <w:spacing w:after="57"/>
    </w:pPr>
  </w:style>
  <w:style w:type="paragraph" w:styleId="932">
    <w:name w:val="toc 6"/>
    <w:basedOn w:val="761"/>
    <w:next w:val="761"/>
    <w:uiPriority w:val="39"/>
    <w:unhideWhenUsed/>
    <w:pPr>
      <w:ind w:left="1417"/>
      <w:spacing w:after="57"/>
    </w:pPr>
  </w:style>
  <w:style w:type="paragraph" w:styleId="933">
    <w:name w:val="toc 7"/>
    <w:basedOn w:val="761"/>
    <w:next w:val="761"/>
    <w:uiPriority w:val="39"/>
    <w:unhideWhenUsed/>
    <w:pPr>
      <w:ind w:left="1701"/>
      <w:spacing w:after="57"/>
    </w:pPr>
  </w:style>
  <w:style w:type="paragraph" w:styleId="934">
    <w:name w:val="toc 8"/>
    <w:basedOn w:val="761"/>
    <w:next w:val="761"/>
    <w:uiPriority w:val="39"/>
    <w:unhideWhenUsed/>
    <w:pPr>
      <w:ind w:left="1984"/>
      <w:spacing w:after="57"/>
    </w:pPr>
  </w:style>
  <w:style w:type="paragraph" w:styleId="935">
    <w:name w:val="toc 9"/>
    <w:basedOn w:val="761"/>
    <w:next w:val="761"/>
    <w:uiPriority w:val="39"/>
    <w:unhideWhenUsed/>
    <w:pPr>
      <w:ind w:left="2268"/>
      <w:spacing w:after="57"/>
    </w:pPr>
  </w:style>
  <w:style w:type="paragraph" w:styleId="936">
    <w:name w:val="TOC Heading"/>
    <w:uiPriority w:val="39"/>
    <w:unhideWhenUsed/>
  </w:style>
  <w:style w:type="paragraph" w:styleId="937">
    <w:name w:val="table of figures"/>
    <w:basedOn w:val="761"/>
    <w:next w:val="761"/>
    <w:uiPriority w:val="99"/>
    <w:unhideWhenUsed/>
    <w:pPr>
      <w:spacing w:after="0"/>
    </w:pPr>
  </w:style>
  <w:style w:type="paragraph" w:styleId="938">
    <w:name w:val="List Paragraph"/>
    <w:basedOn w:val="761"/>
    <w:uiPriority w:val="34"/>
    <w:qFormat/>
    <w:pPr>
      <w:contextualSpacing/>
      <w:ind w:left="720"/>
    </w:pPr>
  </w:style>
  <w:style w:type="paragraph" w:styleId="939">
    <w:name w:val="Balloon Text"/>
    <w:basedOn w:val="761"/>
    <w:link w:val="9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0" w:customStyle="1">
    <w:name w:val="Текст выноски Знак"/>
    <w:basedOn w:val="771"/>
    <w:link w:val="939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paragraph" w:styleId="941">
    <w:name w:val="Header"/>
    <w:basedOn w:val="761"/>
    <w:link w:val="9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2" w:customStyle="1">
    <w:name w:val="Верхний колонтитул Знак"/>
    <w:basedOn w:val="771"/>
    <w:link w:val="941"/>
    <w:uiPriority w:val="99"/>
    <w:rPr>
      <w:rFonts w:eastAsiaTheme="minorEastAsia"/>
      <w:lang w:eastAsia="ru-RU"/>
    </w:rPr>
  </w:style>
  <w:style w:type="paragraph" w:styleId="943">
    <w:name w:val="Footer"/>
    <w:basedOn w:val="761"/>
    <w:link w:val="9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4" w:customStyle="1">
    <w:name w:val="Нижний колонтитул Знак"/>
    <w:basedOn w:val="771"/>
    <w:link w:val="943"/>
    <w:uiPriority w:val="99"/>
    <w:rPr>
      <w:rFonts w:eastAsiaTheme="minorEastAsia"/>
      <w:lang w:eastAsia="ru-RU"/>
    </w:rPr>
  </w:style>
  <w:style w:type="table" w:styleId="945">
    <w:name w:val="Table Grid"/>
    <w:basedOn w:val="77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6">
    <w:name w:val="Hyperlink"/>
    <w:basedOn w:val="771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20</cp:revision>
  <dcterms:created xsi:type="dcterms:W3CDTF">2023-08-25T11:02:00Z</dcterms:created>
  <dcterms:modified xsi:type="dcterms:W3CDTF">2023-10-03T15:09:51Z</dcterms:modified>
</cp:coreProperties>
</file>