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Единовременная выплата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в случае гибели (смерти) военнослужащих, принимавших участие в специальной военной операции</w:t>
      </w:r>
      <w:r/>
    </w:p>
    <w:p>
      <w:pPr>
        <w:jc w:val="center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 000 000 руб</w:t>
      </w:r>
      <w:r>
        <w:rPr>
          <w:rFonts w:ascii="Times New Roman" w:hAnsi="Times New Roman" w:cs="Times New Roman"/>
          <w:b/>
          <w:sz w:val="26"/>
          <w:szCs w:val="26"/>
        </w:rPr>
        <w:t xml:space="preserve">.</w:t>
      </w:r>
      <w:r/>
    </w:p>
    <w:p>
      <w:pPr>
        <w:jc w:val="center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Осуществляется в</w:t>
      </w:r>
      <w:r>
        <w:rPr>
          <w:rFonts w:ascii="Times New Roman" w:hAnsi="Times New Roman" w:cs="Times New Roman"/>
          <w:sz w:val="26"/>
          <w:szCs w:val="26"/>
        </w:rPr>
        <w:t xml:space="preserve"> случае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гибели (смерти) военнослужащих</w:t>
      </w:r>
      <w:r>
        <w:rPr>
          <w:rFonts w:ascii="Times New Roman" w:hAnsi="Times New Roman" w:cs="Times New Roman"/>
          <w:sz w:val="26"/>
          <w:szCs w:val="26"/>
        </w:rPr>
        <w:t xml:space="preserve"> вследствие увечья (ранения, травмы, контузии) или заболевания, полученных ими при исполнении обязанностей военной службы (службы), членам их семей в равных долях </w:t>
      </w:r>
      <w:r>
        <w:rPr>
          <w:rFonts w:ascii="Times New Roman" w:hAnsi="Times New Roman" w:cs="Times New Roman"/>
          <w:sz w:val="26"/>
          <w:szCs w:val="26"/>
        </w:rPr>
        <w:t xml:space="preserve">подразделениями М</w:t>
      </w:r>
      <w:r>
        <w:rPr>
          <w:rFonts w:ascii="Times New Roman" w:hAnsi="Times New Roman" w:cs="Times New Roman"/>
          <w:sz w:val="26"/>
          <w:szCs w:val="26"/>
        </w:rPr>
        <w:t xml:space="preserve">инистерства обороны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основании: </w:t>
      </w:r>
      <w:r/>
    </w:p>
    <w:p>
      <w:pPr>
        <w:pStyle w:val="858"/>
        <w:numPr>
          <w:ilvl w:val="0"/>
          <w:numId w:val="3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Указа Президента РФ от 5 марта 2022 г. № 98 "О дополнительных социальных гарантиях военнослужащим, лицам, проходящим службу в войсках национальной гвардии Российской Федерации, и членам их семей"</w:t>
      </w:r>
      <w:r/>
    </w:p>
    <w:p>
      <w:pPr>
        <w:pStyle w:val="858"/>
        <w:numPr>
          <w:ilvl w:val="0"/>
          <w:numId w:val="3"/>
        </w:numPr>
        <w:contextualSpacing w:val="0"/>
        <w:ind w:left="714" w:hanging="357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Приказа МО РФ от 22 апреля 2022 г. № 236 (определен порядок назначения и осуществления единовременных выплат по Указу № 98) </w:t>
      </w:r>
      <w:r/>
    </w:p>
    <w:p>
      <w:pPr>
        <w:pStyle w:val="858"/>
        <w:contextualSpacing w:val="0"/>
        <w:ind w:left="714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Алгоритм получения единовременной выплаты</w:t>
      </w:r>
      <w:r/>
    </w:p>
    <w:p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</w:r>
      <w:r/>
    </w:p>
    <w:p>
      <w:pPr>
        <w:pStyle w:val="858"/>
        <w:numPr>
          <w:ilvl w:val="3"/>
          <w:numId w:val="7"/>
        </w:numPr>
        <w:ind w:left="0" w:firstLine="426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Членами семьи</w:t>
      </w:r>
      <w:r>
        <w:rPr>
          <w:rFonts w:ascii="Times New Roman" w:hAnsi="Times New Roman" w:cs="Times New Roman"/>
          <w:sz w:val="26"/>
          <w:szCs w:val="26"/>
        </w:rPr>
        <w:t xml:space="preserve"> военнослужащего, имеющими право на получение единовременной выплаты, считаются: </w:t>
      </w:r>
      <w:r/>
    </w:p>
    <w:p>
      <w:pPr>
        <w:pStyle w:val="858"/>
        <w:numPr>
          <w:ilvl w:val="0"/>
          <w:numId w:val="7"/>
        </w:numPr>
        <w:ind w:firstLine="414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супруга</w:t>
      </w:r>
      <w:r>
        <w:rPr>
          <w:rFonts w:ascii="Times New Roman" w:hAnsi="Times New Roman" w:cs="Times New Roman"/>
          <w:sz w:val="26"/>
          <w:szCs w:val="26"/>
        </w:rPr>
        <w:t xml:space="preserve"> (супруг), состоящая (состоящий) на день гибели (смерти) военнослужащего, гражданина, призванного на военные сборы, в зарегистрированном браке с ним; </w:t>
      </w:r>
      <w:r/>
    </w:p>
    <w:p>
      <w:pPr>
        <w:pStyle w:val="858"/>
        <w:numPr>
          <w:ilvl w:val="0"/>
          <w:numId w:val="7"/>
        </w:numPr>
        <w:ind w:firstLine="414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родители</w:t>
      </w:r>
      <w:r>
        <w:rPr>
          <w:rFonts w:ascii="Times New Roman" w:hAnsi="Times New Roman" w:cs="Times New Roman"/>
          <w:sz w:val="26"/>
          <w:szCs w:val="26"/>
        </w:rPr>
        <w:t xml:space="preserve"> военнослужащего, гражданина, призванного на военные сборы; </w:t>
      </w:r>
      <w:r/>
    </w:p>
    <w:p>
      <w:pPr>
        <w:pStyle w:val="858"/>
        <w:numPr>
          <w:ilvl w:val="0"/>
          <w:numId w:val="7"/>
        </w:numPr>
        <w:ind w:firstLine="414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дети,</w:t>
      </w:r>
      <w:r>
        <w:rPr>
          <w:rFonts w:ascii="Times New Roman" w:hAnsi="Times New Roman" w:cs="Times New Roman"/>
          <w:sz w:val="26"/>
          <w:szCs w:val="26"/>
        </w:rPr>
        <w:t xml:space="preserve"> не достигшие возраста 18 лет, или ст</w:t>
      </w:r>
      <w:r>
        <w:rPr>
          <w:rFonts w:ascii="Times New Roman" w:hAnsi="Times New Roman" w:cs="Times New Roman"/>
          <w:sz w:val="26"/>
          <w:szCs w:val="26"/>
        </w:rPr>
        <w:t xml:space="preserve">арше этого возраста, если они стали инвалидами до достижения ими возраста 18 лет, а также дети, обучающиеся  в образовательных организациях по очной форме обучения, – до окончания обучения, но не более чем до достижения ими возраста 23 лет;</w:t>
      </w:r>
      <w:r/>
    </w:p>
    <w:p>
      <w:pPr>
        <w:pStyle w:val="858"/>
        <w:numPr>
          <w:ilvl w:val="0"/>
          <w:numId w:val="2"/>
        </w:numPr>
        <w:ind w:firstLine="414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лицо, признанное фактически воспитывавшим и содержавшим</w:t>
      </w:r>
      <w:r>
        <w:rPr>
          <w:rFonts w:ascii="Times New Roman" w:hAnsi="Times New Roman" w:cs="Times New Roman"/>
          <w:sz w:val="26"/>
          <w:szCs w:val="26"/>
        </w:rPr>
        <w:t xml:space="preserve"> военнослужащего, гражданина, призванного на военные сборы, или инвалида вследствие военной травмы в течение не менее пяти лет до достижения ими совершеннолетия (д</w:t>
      </w:r>
      <w:r>
        <w:rPr>
          <w:rFonts w:ascii="Times New Roman" w:hAnsi="Times New Roman" w:cs="Times New Roman"/>
          <w:sz w:val="26"/>
          <w:szCs w:val="26"/>
        </w:rPr>
        <w:t xml:space="preserve">алее – фактический воспитатель);</w:t>
      </w:r>
      <w:r/>
    </w:p>
    <w:p>
      <w:pPr>
        <w:pStyle w:val="858"/>
        <w:numPr>
          <w:ilvl w:val="0"/>
          <w:numId w:val="2"/>
        </w:numPr>
        <w:ind w:firstLine="414"/>
        <w:jc w:val="both"/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п</w:t>
      </w:r>
      <w:r>
        <w:rPr>
          <w:rFonts w:ascii="Times New Roman" w:hAnsi="Times New Roman" w:cs="Times New Roman"/>
          <w:i/>
          <w:sz w:val="26"/>
          <w:szCs w:val="26"/>
        </w:rPr>
        <w:t xml:space="preserve">ри отсутствии у военнослужащих членов семей единовременная выплата осуществляется их полнородным и </w:t>
      </w:r>
      <w:r>
        <w:rPr>
          <w:rFonts w:ascii="Times New Roman" w:hAnsi="Times New Roman" w:cs="Times New Roman"/>
          <w:i/>
          <w:sz w:val="26"/>
          <w:szCs w:val="26"/>
        </w:rPr>
        <w:t xml:space="preserve">неполнородным</w:t>
      </w:r>
      <w:r>
        <w:rPr>
          <w:rFonts w:ascii="Times New Roman" w:hAnsi="Times New Roman" w:cs="Times New Roman"/>
          <w:i/>
          <w:sz w:val="26"/>
          <w:szCs w:val="26"/>
        </w:rPr>
        <w:t xml:space="preserve"> братьям и сестрам.  </w:t>
      </w:r>
      <w:r/>
    </w:p>
    <w:p>
      <w:pPr>
        <w:pStyle w:val="865"/>
        <w:ind w:firstLine="357"/>
        <w:jc w:val="both"/>
        <w:spacing w:before="0" w:beforeAutospacing="0" w:after="120" w:afterAutospacing="0"/>
        <w:shd w:val="clear" w:color="auto" w:fill="ffffff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Категории членов семей определяются в соответствии с </w:t>
      </w:r>
      <w:r>
        <w:rPr>
          <w:rFonts w:eastAsiaTheme="minorHAnsi"/>
          <w:sz w:val="26"/>
          <w:szCs w:val="26"/>
          <w:lang w:eastAsia="en-US"/>
        </w:rPr>
        <w:t xml:space="preserve"> </w:t>
      </w:r>
      <w:hyperlink r:id="rId10" w:tooltip="https://internet.garant.ru/#/document/12191544/entry/311" w:anchor="/document/12191544/entry/311" w:history="1">
        <w:r>
          <w:rPr>
            <w:rFonts w:eastAsiaTheme="minorHAnsi"/>
            <w:sz w:val="26"/>
            <w:szCs w:val="26"/>
            <w:lang w:eastAsia="en-US"/>
          </w:rPr>
          <w:t xml:space="preserve">ч. 11 ст. 3</w:t>
        </w:r>
      </w:hyperlink>
      <w:r>
        <w:rPr>
          <w:rFonts w:eastAsiaTheme="minorHAnsi"/>
          <w:sz w:val="26"/>
          <w:szCs w:val="26"/>
          <w:lang w:eastAsia="en-US"/>
        </w:rPr>
        <w:t xml:space="preserve"> Федерального закона от 07.11.2011 N 306-ФЗ "О денежном довольствии военнослужащих и предоставлении им отдельных выплат".</w:t>
      </w:r>
      <w:r/>
    </w:p>
    <w:p>
      <w:pPr>
        <w:pStyle w:val="858"/>
        <w:numPr>
          <w:ilvl w:val="0"/>
          <w:numId w:val="8"/>
        </w:numPr>
        <w:jc w:val="both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Документы, необходимые для назначения выплаты: </w:t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заявление </w:t>
      </w:r>
      <w:r>
        <w:rPr>
          <w:rFonts w:ascii="Times New Roman" w:hAnsi="Times New Roman" w:cs="Times New Roman"/>
          <w:sz w:val="26"/>
          <w:szCs w:val="26"/>
        </w:rPr>
        <w:t xml:space="preserve">каждого члена семьи погибшего (умершего) военнослужащего на получение единовременной выплаты. Несовершеннолетние дети военнослужащего включаются в заявление законного представителя </w:t>
      </w:r>
      <w:r>
        <w:rPr>
          <w:rFonts w:ascii="Times New Roman" w:hAnsi="Times New Roman" w:cs="Times New Roman"/>
          <w:sz w:val="26"/>
          <w:szCs w:val="26"/>
        </w:rPr>
        <w:t xml:space="preserve">(родителя, усыновителя, опекуна, попечителя), а при его отсутствии – в заявление должностного лица органов опеки и попечительства;</w:t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>
        <w:rPr>
          <w:rFonts w:ascii="Times New Roman" w:hAnsi="Times New Roman" w:cs="Times New Roman"/>
          <w:b/>
          <w:sz w:val="26"/>
          <w:szCs w:val="26"/>
        </w:rPr>
        <w:t xml:space="preserve">выписка из приказа</w:t>
      </w:r>
      <w:r>
        <w:rPr>
          <w:rFonts w:ascii="Times New Roman" w:hAnsi="Times New Roman" w:cs="Times New Roman"/>
          <w:sz w:val="26"/>
          <w:szCs w:val="26"/>
        </w:rPr>
        <w:t xml:space="preserve"> об исключении погибшего (умершего) военнослужащего из списков</w:t>
      </w:r>
      <w:r>
        <w:rPr>
          <w:rFonts w:ascii="Times New Roman" w:hAnsi="Times New Roman" w:cs="Times New Roman"/>
          <w:sz w:val="26"/>
          <w:szCs w:val="26"/>
        </w:rPr>
        <w:t xml:space="preserve"> личного состава воинской части. К</w:t>
      </w:r>
      <w:r>
        <w:rPr>
          <w:rFonts w:ascii="Times New Roman" w:hAnsi="Times New Roman" w:cs="Times New Roman"/>
          <w:sz w:val="26"/>
          <w:szCs w:val="26"/>
        </w:rPr>
        <w:t xml:space="preserve">опия выписки из приказа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в течение пяти рабочих дней со дня его издания направляется воинской </w:t>
      </w:r>
      <w:r>
        <w:rPr>
          <w:rFonts w:ascii="Times New Roman" w:hAnsi="Times New Roman" w:cs="Times New Roman"/>
          <w:sz w:val="26"/>
          <w:szCs w:val="26"/>
        </w:rPr>
        <w:t xml:space="preserve">частью, </w:t>
      </w:r>
      <w:r>
        <w:rPr>
          <w:rFonts w:ascii="Times New Roman" w:hAnsi="Times New Roman" w:cs="Times New Roman"/>
          <w:sz w:val="26"/>
          <w:szCs w:val="26"/>
        </w:rPr>
        <w:t xml:space="preserve">в которой проходил военную службу погибший (умерший</w:t>
      </w:r>
      <w:r>
        <w:rPr>
          <w:rFonts w:ascii="Times New Roman" w:hAnsi="Times New Roman" w:cs="Times New Roman"/>
          <w:sz w:val="26"/>
          <w:szCs w:val="26"/>
        </w:rPr>
        <w:t xml:space="preserve">) военнослужащий, </w:t>
      </w:r>
      <w:r>
        <w:rPr>
          <w:rFonts w:ascii="Times New Roman" w:hAnsi="Times New Roman" w:cs="Times New Roman"/>
          <w:sz w:val="26"/>
          <w:szCs w:val="26"/>
        </w:rPr>
        <w:t xml:space="preserve">в военный комиссариат субъекта Российской Федерации по месту жительства членов семей погибшего (умершего) военнослужащего </w:t>
      </w:r>
      <w:r>
        <w:rPr>
          <w:rFonts w:ascii="Times New Roman" w:hAnsi="Times New Roman" w:cs="Times New Roman"/>
          <w:sz w:val="26"/>
          <w:szCs w:val="26"/>
        </w:rPr>
        <w:t xml:space="preserve">для оказания содействия    </w:t>
      </w:r>
      <w:r>
        <w:rPr>
          <w:rFonts w:ascii="Times New Roman" w:hAnsi="Times New Roman" w:cs="Times New Roman"/>
          <w:sz w:val="26"/>
          <w:szCs w:val="26"/>
        </w:rPr>
        <w:t xml:space="preserve">в оформлении документов, необходимых для принятия решения о единовр</w:t>
      </w:r>
      <w:r>
        <w:rPr>
          <w:rFonts w:ascii="Times New Roman" w:hAnsi="Times New Roman" w:cs="Times New Roman"/>
          <w:sz w:val="26"/>
          <w:szCs w:val="26"/>
        </w:rPr>
        <w:t xml:space="preserve">еменной выплате членам семьи;</w:t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>
        <w:rPr>
          <w:rFonts w:ascii="Times New Roman" w:hAnsi="Times New Roman" w:cs="Times New Roman"/>
          <w:b/>
          <w:sz w:val="26"/>
          <w:szCs w:val="26"/>
        </w:rPr>
        <w:t xml:space="preserve">копия свидетельства о смерти</w:t>
      </w:r>
      <w:r>
        <w:rPr>
          <w:rFonts w:ascii="Times New Roman" w:hAnsi="Times New Roman" w:cs="Times New Roman"/>
          <w:sz w:val="26"/>
          <w:szCs w:val="26"/>
        </w:rPr>
        <w:t xml:space="preserve"> военнослужащего;</w:t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>
        <w:rPr>
          <w:rFonts w:ascii="Times New Roman" w:hAnsi="Times New Roman" w:cs="Times New Roman"/>
          <w:b/>
          <w:sz w:val="26"/>
          <w:szCs w:val="26"/>
        </w:rPr>
        <w:t xml:space="preserve">копии документов</w:t>
      </w:r>
      <w:r>
        <w:rPr>
          <w:rFonts w:ascii="Times New Roman" w:hAnsi="Times New Roman" w:cs="Times New Roman"/>
          <w:sz w:val="26"/>
          <w:szCs w:val="26"/>
        </w:rPr>
        <w:t xml:space="preserve">, подтверждающих родственную связь с военнослужащим;</w:t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>
        <w:rPr>
          <w:rFonts w:ascii="Times New Roman" w:hAnsi="Times New Roman" w:cs="Times New Roman"/>
          <w:b/>
          <w:sz w:val="26"/>
          <w:szCs w:val="26"/>
        </w:rPr>
        <w:t xml:space="preserve">копии справки</w:t>
      </w:r>
      <w:r>
        <w:rPr>
          <w:rFonts w:ascii="Times New Roman" w:hAnsi="Times New Roman" w:cs="Times New Roman"/>
          <w:sz w:val="26"/>
          <w:szCs w:val="26"/>
        </w:rPr>
        <w:t xml:space="preserve">, подтверждающей факт </w:t>
      </w:r>
      <w:r>
        <w:rPr>
          <w:rFonts w:ascii="Times New Roman" w:hAnsi="Times New Roman" w:cs="Times New Roman"/>
          <w:b/>
          <w:sz w:val="26"/>
          <w:szCs w:val="26"/>
        </w:rPr>
        <w:t xml:space="preserve">установления инвалидности детям</w:t>
      </w:r>
      <w:r>
        <w:rPr>
          <w:rFonts w:ascii="Times New Roman" w:hAnsi="Times New Roman" w:cs="Times New Roman"/>
          <w:sz w:val="26"/>
          <w:szCs w:val="26"/>
        </w:rPr>
        <w:t xml:space="preserve"> погибшего (умершего) военнослужащего до достижения ими возраста 18 лет, - для детей, достигших возраста 18 лет, которые стали инвалидами до достижения этого возраста;</w:t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е) </w:t>
      </w:r>
      <w:r>
        <w:rPr>
          <w:rFonts w:ascii="Times New Roman" w:hAnsi="Times New Roman" w:cs="Times New Roman"/>
          <w:b/>
          <w:sz w:val="26"/>
          <w:szCs w:val="26"/>
        </w:rPr>
        <w:t xml:space="preserve">справки образовательной организации, подтверждающей обучение</w:t>
      </w:r>
      <w:r>
        <w:rPr>
          <w:rFonts w:ascii="Times New Roman" w:hAnsi="Times New Roman" w:cs="Times New Roman"/>
          <w:sz w:val="26"/>
          <w:szCs w:val="26"/>
        </w:rPr>
        <w:t xml:space="preserve"> по очной форме обучения, с указанием даты начала обучения – для детей погибшего (умершего) военнослужащего в возрасте от 18 до 23 лет;</w:t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ж) </w:t>
      </w:r>
      <w:r>
        <w:rPr>
          <w:rFonts w:ascii="Times New Roman" w:hAnsi="Times New Roman" w:cs="Times New Roman"/>
          <w:b/>
          <w:sz w:val="26"/>
          <w:szCs w:val="26"/>
        </w:rPr>
        <w:t xml:space="preserve">копии решения органа опеки</w:t>
      </w:r>
      <w:r>
        <w:rPr>
          <w:rFonts w:ascii="Times New Roman" w:hAnsi="Times New Roman" w:cs="Times New Roman"/>
          <w:sz w:val="26"/>
          <w:szCs w:val="26"/>
        </w:rPr>
        <w:t xml:space="preserve"> и попечительства о назначении опекуна (попечителя) – для опекуна (попечителя);</w:t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з) </w:t>
      </w:r>
      <w:r>
        <w:rPr>
          <w:rFonts w:ascii="Times New Roman" w:hAnsi="Times New Roman" w:cs="Times New Roman"/>
          <w:b/>
          <w:sz w:val="26"/>
          <w:szCs w:val="26"/>
        </w:rPr>
        <w:t xml:space="preserve">копии решения суда о признании лица фактически воспитывавшим</w:t>
      </w:r>
      <w:r>
        <w:rPr>
          <w:rFonts w:ascii="Times New Roman" w:hAnsi="Times New Roman" w:cs="Times New Roman"/>
          <w:sz w:val="26"/>
          <w:szCs w:val="26"/>
        </w:rPr>
        <w:t xml:space="preserve"> и содержавшим военнослужащего в течение не менее пяти лет до достижения им совершеннолетия (фактическим воспитателем) - для фактического воспитателя.</w:t>
      </w:r>
      <w:r/>
    </w:p>
    <w:p>
      <w:pPr>
        <w:pStyle w:val="858"/>
        <w:contextualSpacing w:val="0"/>
        <w:jc w:val="both"/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Единовременная выплата, причитающаяся несовершеннолетним детям погибшего (умершего) военнослужащего, перечисляется на счета, открытые в кредитной организации родителем (усыновителем, опекуном, попечителем) на имя несовершеннолетнего ребенка.</w:t>
      </w:r>
      <w:r/>
    </w:p>
    <w:p>
      <w:pPr>
        <w:pStyle w:val="858"/>
        <w:numPr>
          <w:ilvl w:val="0"/>
          <w:numId w:val="8"/>
        </w:numPr>
        <w:contextualSpacing w:val="0"/>
        <w:ind w:left="0" w:firstLine="357"/>
        <w:jc w:val="both"/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Решение о назначении членам семей военнослужащих единовременной выплаты либо об отказе в ее назначении принимает командир (нач</w:t>
      </w:r>
      <w:r>
        <w:rPr>
          <w:rFonts w:ascii="Times New Roman" w:hAnsi="Times New Roman" w:cs="Times New Roman"/>
          <w:sz w:val="26"/>
          <w:szCs w:val="26"/>
        </w:rPr>
        <w:t xml:space="preserve">альник) воинской части, </w:t>
      </w:r>
      <w:r>
        <w:rPr>
          <w:rFonts w:ascii="Times New Roman" w:hAnsi="Times New Roman" w:cs="Times New Roman"/>
          <w:sz w:val="26"/>
          <w:szCs w:val="26"/>
        </w:rPr>
        <w:t xml:space="preserve">в которой военнослужащий проходит (проходил) военную службу, или военный комиссар субъекта Российской Федерации по месту жительства погибшего (умершего) военнослужащего (гражданина, уволенного с военной службы).</w:t>
      </w:r>
      <w:r/>
    </w:p>
    <w:p>
      <w:pPr>
        <w:pStyle w:val="858"/>
        <w:numPr>
          <w:ilvl w:val="0"/>
          <w:numId w:val="8"/>
        </w:numPr>
        <w:ind w:left="0" w:firstLine="360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Следует учесть</w:t>
      </w:r>
      <w:r>
        <w:rPr>
          <w:rFonts w:ascii="Times New Roman" w:hAnsi="Times New Roman" w:cs="Times New Roman"/>
          <w:sz w:val="26"/>
          <w:szCs w:val="26"/>
        </w:rPr>
        <w:t xml:space="preserve">, что </w:t>
      </w:r>
      <w:r>
        <w:rPr>
          <w:rFonts w:ascii="Times New Roman" w:hAnsi="Times New Roman" w:cs="Times New Roman"/>
          <w:sz w:val="26"/>
          <w:szCs w:val="26"/>
        </w:rPr>
        <w:t xml:space="preserve">если погибший (умерший) военнослужащий при жизни получил </w:t>
      </w:r>
      <w:r>
        <w:rPr>
          <w:rFonts w:ascii="Times New Roman" w:hAnsi="Times New Roman" w:cs="Times New Roman"/>
          <w:sz w:val="26"/>
          <w:szCs w:val="26"/>
        </w:rPr>
        <w:t xml:space="preserve">единовременную выплату</w:t>
      </w:r>
      <w:r>
        <w:rPr>
          <w:rFonts w:ascii="Times New Roman" w:hAnsi="Times New Roman" w:cs="Times New Roman"/>
          <w:sz w:val="26"/>
          <w:szCs w:val="26"/>
        </w:rPr>
        <w:t xml:space="preserve"> 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ранени</w:t>
      </w:r>
      <w:r>
        <w:rPr>
          <w:rFonts w:ascii="Times New Roman" w:hAnsi="Times New Roman" w:cs="Times New Roman"/>
          <w:sz w:val="26"/>
          <w:szCs w:val="26"/>
        </w:rPr>
        <w:t xml:space="preserve">ю</w:t>
      </w:r>
      <w:r>
        <w:rPr>
          <w:rFonts w:ascii="Times New Roman" w:hAnsi="Times New Roman" w:cs="Times New Roman"/>
          <w:sz w:val="26"/>
          <w:szCs w:val="26"/>
        </w:rPr>
        <w:t xml:space="preserve"> (контузи</w:t>
      </w:r>
      <w:r>
        <w:rPr>
          <w:rFonts w:ascii="Times New Roman" w:hAnsi="Times New Roman" w:cs="Times New Roman"/>
          <w:sz w:val="26"/>
          <w:szCs w:val="26"/>
        </w:rPr>
        <w:t xml:space="preserve">и</w:t>
      </w:r>
      <w:r>
        <w:rPr>
          <w:rFonts w:ascii="Times New Roman" w:hAnsi="Times New Roman" w:cs="Times New Roman"/>
          <w:sz w:val="26"/>
          <w:szCs w:val="26"/>
        </w:rPr>
        <w:t xml:space="preserve">, травм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, увечье) в ходе проведения специальной военной операции (при выполнении специальных задач), в размере 3 млн. рублей</w:t>
      </w:r>
      <w:r>
        <w:rPr>
          <w:rFonts w:ascii="Times New Roman" w:hAnsi="Times New Roman" w:cs="Times New Roman"/>
          <w:sz w:val="26"/>
          <w:szCs w:val="26"/>
        </w:rPr>
        <w:t xml:space="preserve">, то</w:t>
      </w:r>
      <w:r>
        <w:rPr>
          <w:rFonts w:ascii="Times New Roman" w:hAnsi="Times New Roman" w:cs="Times New Roman"/>
          <w:sz w:val="26"/>
          <w:szCs w:val="26"/>
        </w:rPr>
        <w:t xml:space="preserve"> в случае его смерти выплата членам его семьи будет производиться за вычетом ранее полученной суммы за ранение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p>
      <w:pPr>
        <w:ind w:left="708" w:firstLine="12"/>
        <w:jc w:val="both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p>
      <w:pPr>
        <w:pStyle w:val="858"/>
        <w:jc w:val="both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p>
      <w:p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pPr>
      <w:r/>
      <w:bookmarkStart w:id="0" w:name="_GoBack"/>
      <w:r/>
      <w:bookmarkEnd w:id="0"/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rPr>
        <w:i/>
      </w:rPr>
    </w:pPr>
    <w:r>
      <w:tab/>
    </w:r>
    <w:r>
      <w:tab/>
    </w:r>
    <w:r>
      <w:rPr>
        <w:i/>
      </w:rPr>
      <w:t xml:space="preserve">Карточка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Arial Unicode MS" w:cs="Times New Roman"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  <w:rPr>
        <w:rFonts w:ascii="Times New Roman" w:hAnsi="Times New Roman" w:cs="Times New Roman" w:eastAsiaTheme="minorHAnsi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hanging="360"/>
      </w:pPr>
      <w:rPr>
        <w:rFonts w:hint="default" w:ascii="Times New Roman" w:hAnsi="Times New Roman" w:eastAsia="Arial Unicode M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  <w:rPr>
        <w:rFonts w:ascii="Times New Roman" w:hAnsi="Times New Roman" w:cs="Times New Roman" w:eastAsiaTheme="minorHAnsi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28" w:hanging="360"/>
      </w:pPr>
      <w:rPr>
        <w:rFonts w:hint="default" w:ascii="Times New Roman" w:hAnsi="Times New Roman" w:eastAsia="Arial Unicode M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Times New Roman" w:hAnsi="Times New Roman" w:eastAsia="Arial Unicode MS" w:cs="Times New Roman"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  <w:rPr>
        <w:rFonts w:ascii="Times New Roman" w:hAnsi="Times New Roman" w:cs="Times New Roman" w:eastAsiaTheme="minorHAnsi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4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5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6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7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basedOn w:val="689"/>
    <w:link w:val="702"/>
    <w:uiPriority w:val="10"/>
    <w:rPr>
      <w:sz w:val="48"/>
      <w:szCs w:val="48"/>
    </w:rPr>
  </w:style>
  <w:style w:type="character" w:styleId="674">
    <w:name w:val="Subtitle Char"/>
    <w:basedOn w:val="689"/>
    <w:link w:val="704"/>
    <w:uiPriority w:val="11"/>
    <w:rPr>
      <w:sz w:val="24"/>
      <w:szCs w:val="24"/>
    </w:rPr>
  </w:style>
  <w:style w:type="character" w:styleId="675">
    <w:name w:val="Quote Char"/>
    <w:link w:val="706"/>
    <w:uiPriority w:val="29"/>
    <w:rPr>
      <w:i/>
    </w:rPr>
  </w:style>
  <w:style w:type="character" w:styleId="676">
    <w:name w:val="Intense Quote Char"/>
    <w:link w:val="708"/>
    <w:uiPriority w:val="30"/>
    <w:rPr>
      <w:i/>
    </w:rPr>
  </w:style>
  <w:style w:type="character" w:styleId="677">
    <w:name w:val="Footnote Text Char"/>
    <w:link w:val="841"/>
    <w:uiPriority w:val="99"/>
    <w:rPr>
      <w:sz w:val="18"/>
    </w:rPr>
  </w:style>
  <w:style w:type="character" w:styleId="678">
    <w:name w:val="Endnote Text Char"/>
    <w:link w:val="844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basedOn w:val="689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No Spacing"/>
    <w:uiPriority w:val="1"/>
    <w:qFormat/>
    <w:pPr>
      <w:spacing w:after="0" w:line="240" w:lineRule="auto"/>
    </w:pPr>
  </w:style>
  <w:style w:type="paragraph" w:styleId="702">
    <w:name w:val="Title"/>
    <w:basedOn w:val="679"/>
    <w:next w:val="679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 w:customStyle="1">
    <w:name w:val="Заголовок Знак"/>
    <w:basedOn w:val="689"/>
    <w:link w:val="702"/>
    <w:uiPriority w:val="10"/>
    <w:rPr>
      <w:sz w:val="48"/>
      <w:szCs w:val="48"/>
    </w:rPr>
  </w:style>
  <w:style w:type="paragraph" w:styleId="704">
    <w:name w:val="Subtitle"/>
    <w:basedOn w:val="679"/>
    <w:next w:val="679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 w:customStyle="1">
    <w:name w:val="Подзаголовок Знак"/>
    <w:basedOn w:val="689"/>
    <w:link w:val="704"/>
    <w:uiPriority w:val="11"/>
    <w:rPr>
      <w:sz w:val="24"/>
      <w:szCs w:val="24"/>
    </w:rPr>
  </w:style>
  <w:style w:type="paragraph" w:styleId="706">
    <w:name w:val="Quote"/>
    <w:basedOn w:val="679"/>
    <w:next w:val="679"/>
    <w:link w:val="707"/>
    <w:uiPriority w:val="29"/>
    <w:qFormat/>
    <w:pPr>
      <w:ind w:left="720" w:right="720"/>
    </w:pPr>
    <w:rPr>
      <w:i/>
    </w:rPr>
  </w:style>
  <w:style w:type="character" w:styleId="707" w:customStyle="1">
    <w:name w:val="Цитата 2 Знак"/>
    <w:link w:val="706"/>
    <w:uiPriority w:val="29"/>
    <w:rPr>
      <w:i/>
    </w:rPr>
  </w:style>
  <w:style w:type="paragraph" w:styleId="708">
    <w:name w:val="Intense Quote"/>
    <w:basedOn w:val="679"/>
    <w:next w:val="679"/>
    <w:link w:val="70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 w:customStyle="1">
    <w:name w:val="Выделенная цитата Знак"/>
    <w:link w:val="708"/>
    <w:uiPriority w:val="30"/>
    <w:rPr>
      <w:i/>
    </w:rPr>
  </w:style>
  <w:style w:type="character" w:styleId="710" w:customStyle="1">
    <w:name w:val="Header Char"/>
    <w:basedOn w:val="689"/>
    <w:uiPriority w:val="99"/>
  </w:style>
  <w:style w:type="character" w:styleId="711" w:customStyle="1">
    <w:name w:val="Footer Char"/>
    <w:basedOn w:val="689"/>
    <w:uiPriority w:val="99"/>
  </w:style>
  <w:style w:type="paragraph" w:styleId="712">
    <w:name w:val="Caption"/>
    <w:basedOn w:val="679"/>
    <w:next w:val="67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3" w:customStyle="1">
    <w:name w:val="Caption Char"/>
    <w:uiPriority w:val="99"/>
  </w:style>
  <w:style w:type="table" w:styleId="714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5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6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4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5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6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7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8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9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6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7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8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9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0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1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2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4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CCCEA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CCCEA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5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6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5A5A5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A5A5A5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7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8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5AFDD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95AFDD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9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DD394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ADD394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0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6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7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8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9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0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1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2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3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5B9BD5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5B9BD5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4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5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9C9C9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9C9C9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6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7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8DA9DB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8DA9DB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8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9D08E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A9D08E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9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1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2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3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4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5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6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8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9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0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1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2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3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4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5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6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7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8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9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563c1" w:themeColor="hyperlink"/>
      <w:u w:val="single"/>
    </w:rPr>
  </w:style>
  <w:style w:type="paragraph" w:styleId="841">
    <w:name w:val="footnote text"/>
    <w:basedOn w:val="679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 w:customStyle="1">
    <w:name w:val="Текст сноски Знак"/>
    <w:link w:val="841"/>
    <w:uiPriority w:val="99"/>
    <w:rPr>
      <w:sz w:val="18"/>
    </w:rPr>
  </w:style>
  <w:style w:type="character" w:styleId="843">
    <w:name w:val="footnote reference"/>
    <w:basedOn w:val="689"/>
    <w:uiPriority w:val="99"/>
    <w:unhideWhenUsed/>
    <w:rPr>
      <w:vertAlign w:val="superscript"/>
    </w:rPr>
  </w:style>
  <w:style w:type="paragraph" w:styleId="844">
    <w:name w:val="endnote text"/>
    <w:basedOn w:val="679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 w:customStyle="1">
    <w:name w:val="Текст концевой сноски Знак"/>
    <w:link w:val="844"/>
    <w:uiPriority w:val="99"/>
    <w:rPr>
      <w:sz w:val="20"/>
    </w:rPr>
  </w:style>
  <w:style w:type="character" w:styleId="846">
    <w:name w:val="endnote reference"/>
    <w:basedOn w:val="689"/>
    <w:uiPriority w:val="99"/>
    <w:semiHidden/>
    <w:unhideWhenUsed/>
    <w:rPr>
      <w:vertAlign w:val="superscript"/>
    </w:rPr>
  </w:style>
  <w:style w:type="paragraph" w:styleId="847">
    <w:name w:val="toc 1"/>
    <w:basedOn w:val="679"/>
    <w:next w:val="679"/>
    <w:uiPriority w:val="39"/>
    <w:unhideWhenUsed/>
    <w:pPr>
      <w:spacing w:after="57"/>
    </w:pPr>
  </w:style>
  <w:style w:type="paragraph" w:styleId="848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49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0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1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2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3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4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5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679"/>
    <w:next w:val="679"/>
    <w:uiPriority w:val="99"/>
    <w:unhideWhenUsed/>
    <w:pPr>
      <w:spacing w:after="0"/>
    </w:pPr>
  </w:style>
  <w:style w:type="paragraph" w:styleId="858">
    <w:name w:val="List Paragraph"/>
    <w:basedOn w:val="679"/>
    <w:uiPriority w:val="34"/>
    <w:qFormat/>
    <w:pPr>
      <w:contextualSpacing/>
      <w:ind w:left="720"/>
    </w:pPr>
  </w:style>
  <w:style w:type="paragraph" w:styleId="859">
    <w:name w:val="Balloon Text"/>
    <w:basedOn w:val="679"/>
    <w:link w:val="86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0" w:customStyle="1">
    <w:name w:val="Текст выноски Знак"/>
    <w:basedOn w:val="689"/>
    <w:link w:val="859"/>
    <w:uiPriority w:val="99"/>
    <w:semiHidden/>
    <w:rPr>
      <w:rFonts w:ascii="Segoe UI" w:hAnsi="Segoe UI" w:cs="Segoe UI"/>
      <w:sz w:val="18"/>
      <w:szCs w:val="18"/>
    </w:rPr>
  </w:style>
  <w:style w:type="paragraph" w:styleId="861">
    <w:name w:val="Header"/>
    <w:basedOn w:val="679"/>
    <w:link w:val="8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2" w:customStyle="1">
    <w:name w:val="Верхний колонтитул Знак"/>
    <w:basedOn w:val="689"/>
    <w:link w:val="861"/>
    <w:uiPriority w:val="99"/>
  </w:style>
  <w:style w:type="paragraph" w:styleId="863">
    <w:name w:val="Footer"/>
    <w:basedOn w:val="679"/>
    <w:link w:val="86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4" w:customStyle="1">
    <w:name w:val="Нижний колонтитул Знак"/>
    <w:basedOn w:val="689"/>
    <w:link w:val="863"/>
    <w:uiPriority w:val="99"/>
  </w:style>
  <w:style w:type="paragraph" w:styleId="865" w:customStyle="1">
    <w:name w:val="s_1"/>
    <w:basedOn w:val="67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internet.garant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>ВПП "Единая Россия"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Рабочая группа</cp:lastModifiedBy>
  <cp:revision>12</cp:revision>
  <dcterms:created xsi:type="dcterms:W3CDTF">2023-09-11T09:13:00Z</dcterms:created>
  <dcterms:modified xsi:type="dcterms:W3CDTF">2023-09-21T10:24:50Z</dcterms:modified>
</cp:coreProperties>
</file>