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jc w:val="center"/>
        <w:spacing w:after="0" w:line="240" w:lineRule="auto"/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</w:pPr>
      <w:r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  <w:t xml:space="preserve">Страховая сумма </w:t>
      </w:r>
      <w:r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  <w:t xml:space="preserve">в случае </w:t>
      </w:r>
      <w:r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  <w:t xml:space="preserve">установлени</w:t>
      </w:r>
      <w:r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  <w:t xml:space="preserve">я</w:t>
      </w:r>
      <w:r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  <w:t xml:space="preserve">  инвалидности</w:t>
      </w:r>
      <w:r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  <w:t xml:space="preserve"> в  период </w:t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</w:pPr>
      <w:r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  <w:t xml:space="preserve">прохождения военной службы, службы или военных сборов</w:t>
      </w:r>
      <w:r/>
    </w:p>
    <w:p>
      <w:pPr>
        <w:jc w:val="center"/>
        <w:spacing w:after="0"/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(выплата индексируется)</w:t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</w:pPr>
      <w:r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2 348 797,95 руб. – инвалиду I группы</w:t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1 565 864,79 руб. – инвалиду II группы</w:t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    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782 932,40 руб. – инвалиду III группы</w:t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Осуществляется АО «СОГАЗ» в случае</w:t>
      </w:r>
      <w:r>
        <w:rPr>
          <w:rFonts w:ascii="Times New Roman" w:hAnsi="Times New Roman" w:cs="Times New Roman"/>
          <w:sz w:val="26"/>
          <w:szCs w:val="26"/>
        </w:rPr>
        <w:t xml:space="preserve"> установления застрахованному лицу инвалидности </w:t>
      </w:r>
      <w:r>
        <w:rPr>
          <w:rFonts w:ascii="Times New Roman" w:hAnsi="Times New Roman" w:cs="Times New Roman"/>
          <w:sz w:val="26"/>
          <w:szCs w:val="26"/>
        </w:rPr>
        <w:t xml:space="preserve">до </w:t>
      </w:r>
      <w:r>
        <w:rPr>
          <w:rFonts w:ascii="Times New Roman" w:hAnsi="Times New Roman" w:cs="Times New Roman"/>
          <w:sz w:val="26"/>
          <w:szCs w:val="26"/>
        </w:rPr>
        <w:t xml:space="preserve">истечения одного года со дня </w:t>
      </w:r>
      <w:r>
        <w:rPr>
          <w:rFonts w:ascii="Times New Roman" w:hAnsi="Times New Roman" w:cs="Times New Roman"/>
          <w:sz w:val="26"/>
          <w:szCs w:val="26"/>
        </w:rPr>
        <w:t xml:space="preserve">увольнения с военной службы </w:t>
      </w:r>
      <w:r>
        <w:rPr>
          <w:rFonts w:ascii="Times New Roman" w:hAnsi="Times New Roman" w:cs="Times New Roman"/>
          <w:sz w:val="26"/>
          <w:szCs w:val="26"/>
        </w:rPr>
        <w:t xml:space="preserve">вследствие </w:t>
      </w:r>
      <w:r>
        <w:rPr>
          <w:rFonts w:ascii="Times New Roman" w:hAnsi="Times New Roman" w:cs="Times New Roman"/>
          <w:sz w:val="26"/>
          <w:szCs w:val="26"/>
        </w:rPr>
        <w:t xml:space="preserve">увечья (ранения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травмы,</w:t>
      </w:r>
      <w:r>
        <w:rPr>
          <w:rFonts w:ascii="Times New Roman" w:hAnsi="Times New Roman" w:cs="Times New Roman"/>
          <w:sz w:val="26"/>
          <w:szCs w:val="26"/>
        </w:rPr>
        <w:t xml:space="preserve"> контузии) </w:t>
      </w:r>
      <w:r>
        <w:rPr>
          <w:rFonts w:ascii="Times New Roman" w:hAnsi="Times New Roman" w:cs="Times New Roman"/>
          <w:sz w:val="26"/>
          <w:szCs w:val="26"/>
        </w:rPr>
        <w:t xml:space="preserve">или заболевания, полученных в период прохождения военной службы </w:t>
      </w:r>
      <w:r>
        <w:rPr>
          <w:rFonts w:ascii="Times New Roman" w:hAnsi="Times New Roman" w:cs="Times New Roman"/>
          <w:sz w:val="26"/>
          <w:szCs w:val="26"/>
        </w:rPr>
        <w:t xml:space="preserve">на основании Федерального закона от </w:t>
      </w:r>
      <w:r>
        <w:rPr>
          <w:rFonts w:ascii="Times New Roman" w:hAnsi="Times New Roman" w:cs="Times New Roman"/>
          <w:sz w:val="26"/>
          <w:szCs w:val="26"/>
        </w:rPr>
        <w:t xml:space="preserve">28 марта 1998 г. № 52-ФЗ «Об обязательном государственном страховании жизни и здоровья военнослужащих…»,</w:t>
      </w:r>
      <w:r>
        <w:rPr>
          <w:rFonts w:ascii="Times New Roman" w:hAnsi="Times New Roman" w:cs="Times New Roman"/>
          <w:sz w:val="26"/>
          <w:szCs w:val="26"/>
        </w:rPr>
        <w:t xml:space="preserve"> Приказа</w:t>
      </w:r>
      <w:r>
        <w:rPr>
          <w:rFonts w:ascii="Times New Roman" w:hAnsi="Times New Roman" w:cs="Times New Roman"/>
          <w:sz w:val="26"/>
          <w:szCs w:val="26"/>
        </w:rPr>
        <w:t xml:space="preserve"> Министра обороны РФ от 8 декабря 2022 г. N </w:t>
      </w:r>
      <w:r>
        <w:rPr>
          <w:rFonts w:ascii="Times New Roman" w:hAnsi="Times New Roman" w:cs="Times New Roman"/>
          <w:sz w:val="26"/>
          <w:szCs w:val="26"/>
        </w:rPr>
        <w:t xml:space="preserve">755 </w:t>
      </w:r>
      <w:r>
        <w:rPr>
          <w:rFonts w:ascii="Times New Roman" w:hAnsi="Times New Roman" w:cs="Times New Roman"/>
          <w:sz w:val="26"/>
          <w:szCs w:val="26"/>
        </w:rPr>
        <w:t xml:space="preserve">«Об утверждении Порядка организации работы по обязательному государственному страхованию жизни и здоровья военнослужащих ...</w:t>
      </w:r>
      <w:r>
        <w:rPr>
          <w:rFonts w:ascii="Times New Roman" w:hAnsi="Times New Roman" w:cs="Times New Roman"/>
          <w:sz w:val="26"/>
          <w:szCs w:val="26"/>
        </w:rPr>
        <w:t xml:space="preserve">».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Алгоритм оформления страховой выплаты</w:t>
      </w:r>
      <w:r/>
    </w:p>
    <w:p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/>
    </w:p>
    <w:p>
      <w:pPr>
        <w:pStyle w:val="904"/>
        <w:numPr>
          <w:ilvl w:val="0"/>
          <w:numId w:val="12"/>
        </w:num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Необходимо собрать требуемый пакет документов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:</w:t>
      </w:r>
      <w:r/>
    </w:p>
    <w:p>
      <w:pPr>
        <w:pStyle w:val="904"/>
        <w:ind w:left="1134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В случае, если инвалидность установлена в период прохождения военной службы</w:t>
      </w:r>
      <w:r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: </w:t>
      </w:r>
      <w:r/>
    </w:p>
    <w:p>
      <w:pPr>
        <w:pStyle w:val="904"/>
        <w:numPr>
          <w:ilvl w:val="0"/>
          <w:numId w:val="11"/>
        </w:numPr>
        <w:contextualSpacing w:val="0"/>
        <w:ind w:left="1066" w:hanging="357"/>
        <w:jc w:val="both"/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</w:t>
      </w:r>
      <w:r>
        <w:rPr>
          <w:rFonts w:ascii="Times New Roman" w:hAnsi="Times New Roman" w:cs="Times New Roman"/>
          <w:sz w:val="26"/>
          <w:szCs w:val="26"/>
        </w:rPr>
        <w:t xml:space="preserve">аявление + копия документа, удостоверяющего личность застрахованного лица </w:t>
      </w:r>
      <w:r>
        <w:rPr>
          <w:rFonts w:ascii="Times New Roman" w:hAnsi="Times New Roman" w:cs="Times New Roman"/>
          <w:sz w:val="26"/>
          <w:szCs w:val="26"/>
        </w:rPr>
        <w:t xml:space="preserve">(Приложение № 4 к Приказу № 755)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/>
    </w:p>
    <w:p>
      <w:pPr>
        <w:pStyle w:val="904"/>
        <w:numPr>
          <w:ilvl w:val="0"/>
          <w:numId w:val="11"/>
        </w:numPr>
        <w:jc w:val="both"/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</w:t>
      </w:r>
      <w:r>
        <w:rPr>
          <w:rFonts w:ascii="Times New Roman" w:hAnsi="Times New Roman" w:cs="Times New Roman"/>
          <w:sz w:val="26"/>
          <w:szCs w:val="26"/>
        </w:rPr>
        <w:t xml:space="preserve">правка об обстоятельствах наступления страхового случая</w:t>
      </w:r>
      <w:r/>
    </w:p>
    <w:p>
      <w:pPr>
        <w:pStyle w:val="904"/>
        <w:contextualSpacing w:val="0"/>
        <w:ind w:left="1068"/>
        <w:jc w:val="both"/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(Приложение № 6 к Приказу № 755)</w:t>
      </w:r>
      <w:r/>
    </w:p>
    <w:p>
      <w:pPr>
        <w:pStyle w:val="904"/>
        <w:numPr>
          <w:ilvl w:val="0"/>
          <w:numId w:val="11"/>
        </w:numPr>
        <w:contextualSpacing w:val="0"/>
        <w:ind w:left="1066" w:hanging="357"/>
        <w:jc w:val="both"/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</w:t>
      </w:r>
      <w:r>
        <w:rPr>
          <w:rFonts w:ascii="Times New Roman" w:hAnsi="Times New Roman" w:cs="Times New Roman"/>
          <w:sz w:val="26"/>
          <w:szCs w:val="26"/>
        </w:rPr>
        <w:t xml:space="preserve">опия справки, подтверждающей факт установления инвалидности (МСЭ)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bookmarkStart w:id="0" w:name="_GoBack"/>
      <w:r/>
      <w:bookmarkEnd w:id="0"/>
      <w:r/>
      <w:r/>
    </w:p>
    <w:p>
      <w:pPr>
        <w:pStyle w:val="904"/>
        <w:numPr>
          <w:ilvl w:val="0"/>
          <w:numId w:val="11"/>
        </w:numPr>
        <w:contextualSpacing w:val="0"/>
        <w:ind w:left="1066" w:hanging="357"/>
        <w:jc w:val="both"/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</w:t>
      </w:r>
      <w:r>
        <w:rPr>
          <w:rFonts w:ascii="Times New Roman" w:hAnsi="Times New Roman" w:cs="Times New Roman"/>
          <w:sz w:val="26"/>
          <w:szCs w:val="26"/>
        </w:rPr>
        <w:t xml:space="preserve">опия свидетельства о болезни застрахованного лица или заключение (справка) военно-врачебной комиссии либо другие военно-медицинские (медицинские) документы, подтверждающие нарушение здоровья.</w:t>
      </w:r>
      <w:r/>
    </w:p>
    <w:p>
      <w:pPr>
        <w:pStyle w:val="904"/>
        <w:contextualSpacing w:val="0"/>
        <w:ind w:left="1066"/>
        <w:jc w:val="both"/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/>
    </w:p>
    <w:p>
      <w:pPr>
        <w:pStyle w:val="904"/>
        <w:ind w:left="993"/>
        <w:jc w:val="both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В случае, если инвалидность установлена после увольнения до истечения одного года:</w:t>
      </w:r>
      <w:r/>
    </w:p>
    <w:p>
      <w:pPr>
        <w:ind w:left="1068" w:hanging="360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</w:t>
      </w:r>
      <w:r>
        <w:rPr>
          <w:rFonts w:ascii="Times New Roman" w:hAnsi="Times New Roman" w:cs="Times New Roman"/>
          <w:sz w:val="26"/>
          <w:szCs w:val="26"/>
        </w:rPr>
        <w:tab/>
        <w:t xml:space="preserve">Заявление + копия документа, удостоверяющего личность застрахованного лица (Приложение № 4 к Приказу № 755).</w:t>
      </w:r>
      <w:r/>
    </w:p>
    <w:p>
      <w:pPr>
        <w:ind w:left="1068" w:hanging="360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</w:t>
      </w:r>
      <w:r>
        <w:rPr>
          <w:rFonts w:ascii="Times New Roman" w:hAnsi="Times New Roman" w:cs="Times New Roman"/>
          <w:sz w:val="26"/>
          <w:szCs w:val="26"/>
        </w:rPr>
        <w:tab/>
        <w:t xml:space="preserve">Копия справки, подтверждающей факт установления инвалидности (МСЭ).</w:t>
      </w:r>
      <w:r/>
    </w:p>
    <w:p>
      <w:pPr>
        <w:ind w:left="1068" w:hanging="360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</w:t>
      </w:r>
      <w:r>
        <w:rPr>
          <w:rFonts w:ascii="Times New Roman" w:hAnsi="Times New Roman" w:cs="Times New Roman"/>
          <w:sz w:val="26"/>
          <w:szCs w:val="26"/>
        </w:rPr>
        <w:tab/>
        <w:t xml:space="preserve">Копия свидетельства о болезни застрахованного лица или заключение (справка) военно-врачебной комиссии либо другие военно-медицинские (медицинские) документы, подтверждающие н</w:t>
      </w:r>
      <w:r>
        <w:rPr>
          <w:rFonts w:ascii="Times New Roman" w:hAnsi="Times New Roman" w:cs="Times New Roman"/>
          <w:sz w:val="26"/>
          <w:szCs w:val="26"/>
        </w:rPr>
        <w:t xml:space="preserve">арушение здоровья.</w:t>
      </w:r>
      <w:r/>
    </w:p>
    <w:p>
      <w:pPr>
        <w:ind w:left="1068" w:hanging="360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ab/>
        <w:t xml:space="preserve">Копия выписки из приказа об исключении из списков личного состава.</w:t>
      </w:r>
      <w:r/>
    </w:p>
    <w:p>
      <w:pPr>
        <w:ind w:left="1068" w:hanging="360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left="1068" w:hanging="360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/>
    </w:p>
    <w:p>
      <w:pPr>
        <w:pStyle w:val="904"/>
        <w:numPr>
          <w:ilvl w:val="0"/>
          <w:numId w:val="12"/>
        </w:num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Документы </w:t>
      </w:r>
      <w:r>
        <w:rPr>
          <w:rFonts w:ascii="Times New Roman" w:hAnsi="Times New Roman" w:cs="Times New Roman"/>
          <w:sz w:val="26"/>
          <w:szCs w:val="26"/>
        </w:rPr>
        <w:t xml:space="preserve">направить по почте или подать лично в </w:t>
      </w:r>
      <w:r>
        <w:rPr>
          <w:rFonts w:ascii="Times New Roman" w:hAnsi="Times New Roman" w:cs="Times New Roman"/>
          <w:sz w:val="26"/>
          <w:szCs w:val="26"/>
        </w:rPr>
        <w:t xml:space="preserve">Головно</w:t>
      </w:r>
      <w:r>
        <w:rPr>
          <w:rFonts w:ascii="Times New Roman" w:hAnsi="Times New Roman" w:cs="Times New Roman"/>
          <w:sz w:val="26"/>
          <w:szCs w:val="26"/>
        </w:rPr>
        <w:t xml:space="preserve">й офис</w:t>
      </w:r>
      <w:r>
        <w:rPr>
          <w:rFonts w:ascii="Times New Roman" w:hAnsi="Times New Roman" w:cs="Times New Roman"/>
          <w:sz w:val="26"/>
          <w:szCs w:val="26"/>
        </w:rPr>
        <w:t xml:space="preserve"> АО «СОГАЗ»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/>
    </w:p>
    <w:p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Почтовый адрес АО «СОГАЗ» для отправки документов:</w:t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107078, г. Москва, проспект Академика Сахарова, дом 10, АО</w:t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«СОГАЗ» Управление урегулирования убытков по</w:t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обязательному государственному личному страхованию.</w:t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Для передачи пакета документов в офис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:</w:t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Москва, Уланский переулок, д. 24, стр.1,</w:t>
      </w:r>
      <w:r/>
    </w:p>
    <w:p>
      <w:pPr>
        <w:ind w:left="709" w:firstLine="567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График приема:</w:t>
      </w:r>
      <w:r/>
    </w:p>
    <w:p>
      <w:pPr>
        <w:ind w:left="709" w:firstLine="567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понедельник - четверг: 09:00 до 18:00,</w:t>
      </w:r>
      <w:r/>
    </w:p>
    <w:p>
      <w:pPr>
        <w:ind w:left="709" w:firstLine="567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пятница: с 09:00 до 16:45,</w:t>
      </w:r>
      <w:r/>
    </w:p>
    <w:p>
      <w:pPr>
        <w:ind w:left="709" w:firstLine="567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суббота и воскресенье – выходные дни.</w:t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Статус рассмотрения документов можно уточнить:</w:t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6"/>
          <w:szCs w:val="26"/>
        </w:rPr>
        <w:t xml:space="preserve">эл.почте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hyperlink r:id="rId15" w:tooltip="mailto:zaprosMO@sogaz.ru" w:history="1">
        <w:r>
          <w:rPr>
            <w:rFonts w:ascii="Times New Roman" w:hAnsi="Times New Roman" w:cs="Times New Roman"/>
            <w:sz w:val="26"/>
            <w:szCs w:val="26"/>
          </w:rPr>
          <w:t xml:space="preserve">zaprosMO@sogaz.ru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 или телефону: 8-800-333-0-888.</w:t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r>
      <w:r/>
    </w:p>
    <w:p>
      <w:pPr>
        <w:spacing w:after="0" w:line="240" w:lineRule="auto"/>
        <w:rPr>
          <w:rFonts w:ascii="Arial-BoldMT" w:hAnsi="Arial-BoldMT" w:cs="Arial-BoldMT" w:eastAsiaTheme="minorHAnsi"/>
          <w:b/>
          <w:bCs/>
          <w:sz w:val="18"/>
          <w:szCs w:val="18"/>
          <w:lang w:eastAsia="en-US"/>
        </w:rPr>
      </w:pPr>
      <w:r>
        <w:rPr>
          <w:rFonts w:ascii="Arial-BoldMT" w:hAnsi="Arial-BoldMT" w:cs="Arial-BoldMT" w:eastAsiaTheme="minorHAnsi"/>
          <w:b/>
          <w:bCs/>
          <w:sz w:val="18"/>
          <w:szCs w:val="18"/>
          <w:lang w:eastAsia="en-US"/>
        </w:rPr>
      </w:r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Courier New">
    <w:panose1 w:val="02070409020205020404"/>
  </w:font>
  <w:font w:name="arial-boldmt">
    <w:panose1 w:val="05040102010807070707"/>
  </w:font>
  <w:font w:name="Wingdings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9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9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7"/>
      <w:jc w:val="right"/>
      <w:rPr>
        <w:i/>
      </w:rPr>
    </w:pPr>
    <w:r>
      <w:rPr>
        <w:i/>
      </w:rPr>
      <w:t xml:space="preserve">Карточка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5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0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474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54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61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69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76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83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90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97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0503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068" w:hanging="360"/>
      </w:pPr>
      <w:rPr>
        <w:rFonts w:hint="default" w:ascii="Times New Roman" w:hAnsi="Times New Roman" w:cs="Times New Roman" w:eastAsiaTheme="minorEastAsia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8" w:hanging="360"/>
      </w:pPr>
      <w:rPr>
        <w:rFonts w:hint="default" w:ascii="Symbol" w:hAnsi="Symbol" w:cs="Times New Roman" w:eastAsiaTheme="minorEastAsia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13"/>
  </w:num>
  <w:num w:numId="5">
    <w:abstractNumId w:val="11"/>
  </w:num>
  <w:num w:numId="6">
    <w:abstractNumId w:val="5"/>
  </w:num>
  <w:num w:numId="7">
    <w:abstractNumId w:val="14"/>
  </w:num>
  <w:num w:numId="8">
    <w:abstractNumId w:val="0"/>
  </w:num>
  <w:num w:numId="9">
    <w:abstractNumId w:val="4"/>
  </w:num>
  <w:num w:numId="10">
    <w:abstractNumId w:val="8"/>
  </w:num>
  <w:num w:numId="11">
    <w:abstractNumId w:val="6"/>
  </w:num>
  <w:num w:numId="12">
    <w:abstractNumId w:val="1"/>
  </w:num>
  <w:num w:numId="13">
    <w:abstractNumId w:val="3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6">
    <w:name w:val="Heading 1"/>
    <w:basedOn w:val="900"/>
    <w:next w:val="900"/>
    <w:link w:val="72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27">
    <w:name w:val="Heading 1 Char"/>
    <w:basedOn w:val="901"/>
    <w:link w:val="726"/>
    <w:uiPriority w:val="9"/>
    <w:rPr>
      <w:rFonts w:ascii="Arial" w:hAnsi="Arial" w:eastAsia="Arial" w:cs="Arial"/>
      <w:sz w:val="40"/>
      <w:szCs w:val="40"/>
    </w:rPr>
  </w:style>
  <w:style w:type="paragraph" w:styleId="728">
    <w:name w:val="Heading 2"/>
    <w:basedOn w:val="900"/>
    <w:next w:val="900"/>
    <w:link w:val="72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9">
    <w:name w:val="Heading 2 Char"/>
    <w:basedOn w:val="901"/>
    <w:link w:val="728"/>
    <w:uiPriority w:val="9"/>
    <w:rPr>
      <w:rFonts w:ascii="Arial" w:hAnsi="Arial" w:eastAsia="Arial" w:cs="Arial"/>
      <w:sz w:val="34"/>
    </w:rPr>
  </w:style>
  <w:style w:type="paragraph" w:styleId="730">
    <w:name w:val="Heading 3"/>
    <w:basedOn w:val="900"/>
    <w:next w:val="900"/>
    <w:link w:val="73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31">
    <w:name w:val="Heading 3 Char"/>
    <w:basedOn w:val="901"/>
    <w:link w:val="730"/>
    <w:uiPriority w:val="9"/>
    <w:rPr>
      <w:rFonts w:ascii="Arial" w:hAnsi="Arial" w:eastAsia="Arial" w:cs="Arial"/>
      <w:sz w:val="30"/>
      <w:szCs w:val="30"/>
    </w:rPr>
  </w:style>
  <w:style w:type="paragraph" w:styleId="732">
    <w:name w:val="Heading 4"/>
    <w:basedOn w:val="900"/>
    <w:next w:val="900"/>
    <w:link w:val="73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3">
    <w:name w:val="Heading 4 Char"/>
    <w:basedOn w:val="901"/>
    <w:link w:val="732"/>
    <w:uiPriority w:val="9"/>
    <w:rPr>
      <w:rFonts w:ascii="Arial" w:hAnsi="Arial" w:eastAsia="Arial" w:cs="Arial"/>
      <w:b/>
      <w:bCs/>
      <w:sz w:val="26"/>
      <w:szCs w:val="26"/>
    </w:rPr>
  </w:style>
  <w:style w:type="paragraph" w:styleId="734">
    <w:name w:val="Heading 5"/>
    <w:basedOn w:val="900"/>
    <w:next w:val="900"/>
    <w:link w:val="73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5">
    <w:name w:val="Heading 5 Char"/>
    <w:basedOn w:val="901"/>
    <w:link w:val="734"/>
    <w:uiPriority w:val="9"/>
    <w:rPr>
      <w:rFonts w:ascii="Arial" w:hAnsi="Arial" w:eastAsia="Arial" w:cs="Arial"/>
      <w:b/>
      <w:bCs/>
      <w:sz w:val="24"/>
      <w:szCs w:val="24"/>
    </w:rPr>
  </w:style>
  <w:style w:type="paragraph" w:styleId="736">
    <w:name w:val="Heading 6"/>
    <w:basedOn w:val="900"/>
    <w:next w:val="900"/>
    <w:link w:val="73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7">
    <w:name w:val="Heading 6 Char"/>
    <w:basedOn w:val="901"/>
    <w:link w:val="736"/>
    <w:uiPriority w:val="9"/>
    <w:rPr>
      <w:rFonts w:ascii="Arial" w:hAnsi="Arial" w:eastAsia="Arial" w:cs="Arial"/>
      <w:b/>
      <w:bCs/>
      <w:sz w:val="22"/>
      <w:szCs w:val="22"/>
    </w:rPr>
  </w:style>
  <w:style w:type="paragraph" w:styleId="738">
    <w:name w:val="Heading 7"/>
    <w:basedOn w:val="900"/>
    <w:next w:val="900"/>
    <w:link w:val="73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9">
    <w:name w:val="Heading 7 Char"/>
    <w:basedOn w:val="901"/>
    <w:link w:val="73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40">
    <w:name w:val="Heading 8"/>
    <w:basedOn w:val="900"/>
    <w:next w:val="900"/>
    <w:link w:val="74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1">
    <w:name w:val="Heading 8 Char"/>
    <w:basedOn w:val="901"/>
    <w:link w:val="740"/>
    <w:uiPriority w:val="9"/>
    <w:rPr>
      <w:rFonts w:ascii="Arial" w:hAnsi="Arial" w:eastAsia="Arial" w:cs="Arial"/>
      <w:i/>
      <w:iCs/>
      <w:sz w:val="22"/>
      <w:szCs w:val="22"/>
    </w:rPr>
  </w:style>
  <w:style w:type="paragraph" w:styleId="742">
    <w:name w:val="Heading 9"/>
    <w:basedOn w:val="900"/>
    <w:next w:val="900"/>
    <w:link w:val="74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3">
    <w:name w:val="Heading 9 Char"/>
    <w:basedOn w:val="901"/>
    <w:link w:val="742"/>
    <w:uiPriority w:val="9"/>
    <w:rPr>
      <w:rFonts w:ascii="Arial" w:hAnsi="Arial" w:eastAsia="Arial" w:cs="Arial"/>
      <w:i/>
      <w:iCs/>
      <w:sz w:val="21"/>
      <w:szCs w:val="21"/>
    </w:rPr>
  </w:style>
  <w:style w:type="paragraph" w:styleId="744">
    <w:name w:val="No Spacing"/>
    <w:uiPriority w:val="1"/>
    <w:qFormat/>
    <w:pPr>
      <w:spacing w:before="0" w:after="0" w:line="240" w:lineRule="auto"/>
    </w:pPr>
  </w:style>
  <w:style w:type="paragraph" w:styleId="745">
    <w:name w:val="Title"/>
    <w:basedOn w:val="900"/>
    <w:next w:val="900"/>
    <w:link w:val="74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6">
    <w:name w:val="Title Char"/>
    <w:basedOn w:val="901"/>
    <w:link w:val="745"/>
    <w:uiPriority w:val="10"/>
    <w:rPr>
      <w:sz w:val="48"/>
      <w:szCs w:val="48"/>
    </w:rPr>
  </w:style>
  <w:style w:type="paragraph" w:styleId="747">
    <w:name w:val="Subtitle"/>
    <w:basedOn w:val="900"/>
    <w:next w:val="900"/>
    <w:link w:val="748"/>
    <w:uiPriority w:val="11"/>
    <w:qFormat/>
    <w:pPr>
      <w:spacing w:before="200" w:after="200"/>
    </w:pPr>
    <w:rPr>
      <w:sz w:val="24"/>
      <w:szCs w:val="24"/>
    </w:rPr>
  </w:style>
  <w:style w:type="character" w:styleId="748">
    <w:name w:val="Subtitle Char"/>
    <w:basedOn w:val="901"/>
    <w:link w:val="747"/>
    <w:uiPriority w:val="11"/>
    <w:rPr>
      <w:sz w:val="24"/>
      <w:szCs w:val="24"/>
    </w:rPr>
  </w:style>
  <w:style w:type="paragraph" w:styleId="749">
    <w:name w:val="Quote"/>
    <w:basedOn w:val="900"/>
    <w:next w:val="900"/>
    <w:link w:val="750"/>
    <w:uiPriority w:val="29"/>
    <w:qFormat/>
    <w:pPr>
      <w:ind w:left="720" w:right="720"/>
    </w:pPr>
    <w:rPr>
      <w:i/>
    </w:rPr>
  </w:style>
  <w:style w:type="character" w:styleId="750">
    <w:name w:val="Quote Char"/>
    <w:link w:val="749"/>
    <w:uiPriority w:val="29"/>
    <w:rPr>
      <w:i/>
    </w:rPr>
  </w:style>
  <w:style w:type="paragraph" w:styleId="751">
    <w:name w:val="Intense Quote"/>
    <w:basedOn w:val="900"/>
    <w:next w:val="900"/>
    <w:link w:val="75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2">
    <w:name w:val="Intense Quote Char"/>
    <w:link w:val="751"/>
    <w:uiPriority w:val="30"/>
    <w:rPr>
      <w:i/>
    </w:rPr>
  </w:style>
  <w:style w:type="character" w:styleId="753">
    <w:name w:val="Header Char"/>
    <w:basedOn w:val="901"/>
    <w:link w:val="907"/>
    <w:uiPriority w:val="99"/>
  </w:style>
  <w:style w:type="character" w:styleId="754">
    <w:name w:val="Footer Char"/>
    <w:basedOn w:val="901"/>
    <w:link w:val="909"/>
    <w:uiPriority w:val="99"/>
  </w:style>
  <w:style w:type="paragraph" w:styleId="755">
    <w:name w:val="Caption"/>
    <w:basedOn w:val="900"/>
    <w:next w:val="90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6">
    <w:name w:val="Caption Char"/>
    <w:basedOn w:val="755"/>
    <w:link w:val="909"/>
    <w:uiPriority w:val="99"/>
  </w:style>
  <w:style w:type="table" w:styleId="757">
    <w:name w:val="Table Grid"/>
    <w:basedOn w:val="90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8">
    <w:name w:val="Table Grid Light"/>
    <w:basedOn w:val="9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9">
    <w:name w:val="Plain Table 1"/>
    <w:basedOn w:val="9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0">
    <w:name w:val="Plain Table 2"/>
    <w:basedOn w:val="90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1">
    <w:name w:val="Plain Table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2">
    <w:name w:val="Plain Table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Plain Table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4">
    <w:name w:val="Grid Table 1 Light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1 Light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1 Light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2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2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4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6">
    <w:name w:val="Grid Table 4 - Accent 1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7">
    <w:name w:val="Grid Table 4 - Accent 2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Grid Table 4 - Accent 3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9">
    <w:name w:val="Grid Table 4 - Accent 4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Grid Table 4 - Accent 5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1">
    <w:name w:val="Grid Table 4 - Accent 6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2">
    <w:name w:val="Grid Table 5 Dark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3">
    <w:name w:val="Grid Table 5 Dark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94">
    <w:name w:val="Grid Table 5 Dark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95">
    <w:name w:val="Grid Table 5 Dark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96">
    <w:name w:val="Grid Table 5 Dark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97">
    <w:name w:val="Grid Table 5 Dark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98">
    <w:name w:val="Grid Table 5 Dark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99">
    <w:name w:val="Grid Table 6 Colorful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00">
    <w:name w:val="Grid Table 6 Colorful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01">
    <w:name w:val="Grid Table 6 Colorful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2">
    <w:name w:val="Grid Table 6 Colorful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3">
    <w:name w:val="Grid Table 6 Colorful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4">
    <w:name w:val="Grid Table 6 Colorful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5">
    <w:name w:val="Grid Table 6 Colorful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6">
    <w:name w:val="Grid Table 7 Colorful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7 Colorful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7 Colorful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1">
    <w:name w:val="List Table 2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2">
    <w:name w:val="List Table 2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3">
    <w:name w:val="List Table 2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4">
    <w:name w:val="List Table 2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5">
    <w:name w:val="List Table 2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6">
    <w:name w:val="List Table 2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7">
    <w:name w:val="List Table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3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3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5 Dark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5 Dark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5">
    <w:name w:val="List Table 5 Dark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6">
    <w:name w:val="List Table 5 Dark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7">
    <w:name w:val="List Table 5 Dark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8">
    <w:name w:val="List Table 6 Colorful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9">
    <w:name w:val="List Table 6 Colorful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0">
    <w:name w:val="List Table 6 Colorful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1">
    <w:name w:val="List Table 6 Colorful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2">
    <w:name w:val="List Table 6 Colorful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3">
    <w:name w:val="List Table 6 Colorful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4">
    <w:name w:val="List Table 6 Colorful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5">
    <w:name w:val="List Table 7 Colorful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6">
    <w:name w:val="List Table 7 Colorful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57">
    <w:name w:val="List Table 7 Colorful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58">
    <w:name w:val="List Table 7 Colorful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59">
    <w:name w:val="List Table 7 Colorful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60">
    <w:name w:val="List Table 7 Colorful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61">
    <w:name w:val="List Table 7 Colorful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62">
    <w:name w:val="Lined - Accent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3">
    <w:name w:val="Lined - Accent 1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4">
    <w:name w:val="Lined - Accent 2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5">
    <w:name w:val="Lined - Accent 3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6">
    <w:name w:val="Lined - Accent 4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7">
    <w:name w:val="Lined - Accent 5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8">
    <w:name w:val="Lined - Accent 6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9">
    <w:name w:val="Bordered &amp; Lined - Accent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0">
    <w:name w:val="Bordered &amp; Lined - Accent 1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71">
    <w:name w:val="Bordered &amp; Lined - Accent 2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72">
    <w:name w:val="Bordered &amp; Lined - Accent 3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73">
    <w:name w:val="Bordered &amp; Lined - Accent 4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74">
    <w:name w:val="Bordered &amp; Lined - Accent 5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75">
    <w:name w:val="Bordered &amp; Lined - Accent 6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6">
    <w:name w:val="Bordered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7">
    <w:name w:val="Bordered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8">
    <w:name w:val="Bordered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9">
    <w:name w:val="Bordered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0">
    <w:name w:val="Bordered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1">
    <w:name w:val="Bordered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2">
    <w:name w:val="Bordered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83">
    <w:name w:val="footnote text"/>
    <w:basedOn w:val="900"/>
    <w:link w:val="884"/>
    <w:uiPriority w:val="99"/>
    <w:semiHidden/>
    <w:unhideWhenUsed/>
    <w:pPr>
      <w:spacing w:after="40" w:line="240" w:lineRule="auto"/>
    </w:pPr>
    <w:rPr>
      <w:sz w:val="18"/>
    </w:rPr>
  </w:style>
  <w:style w:type="character" w:styleId="884">
    <w:name w:val="Footnote Text Char"/>
    <w:link w:val="883"/>
    <w:uiPriority w:val="99"/>
    <w:rPr>
      <w:sz w:val="18"/>
    </w:rPr>
  </w:style>
  <w:style w:type="character" w:styleId="885">
    <w:name w:val="footnote reference"/>
    <w:basedOn w:val="901"/>
    <w:uiPriority w:val="99"/>
    <w:unhideWhenUsed/>
    <w:rPr>
      <w:vertAlign w:val="superscript"/>
    </w:rPr>
  </w:style>
  <w:style w:type="paragraph" w:styleId="886">
    <w:name w:val="endnote text"/>
    <w:basedOn w:val="900"/>
    <w:link w:val="887"/>
    <w:uiPriority w:val="99"/>
    <w:semiHidden/>
    <w:unhideWhenUsed/>
    <w:pPr>
      <w:spacing w:after="0" w:line="240" w:lineRule="auto"/>
    </w:pPr>
    <w:rPr>
      <w:sz w:val="20"/>
    </w:rPr>
  </w:style>
  <w:style w:type="character" w:styleId="887">
    <w:name w:val="Endnote Text Char"/>
    <w:link w:val="886"/>
    <w:uiPriority w:val="99"/>
    <w:rPr>
      <w:sz w:val="20"/>
    </w:rPr>
  </w:style>
  <w:style w:type="character" w:styleId="888">
    <w:name w:val="endnote reference"/>
    <w:basedOn w:val="901"/>
    <w:uiPriority w:val="99"/>
    <w:semiHidden/>
    <w:unhideWhenUsed/>
    <w:rPr>
      <w:vertAlign w:val="superscript"/>
    </w:rPr>
  </w:style>
  <w:style w:type="paragraph" w:styleId="889">
    <w:name w:val="toc 1"/>
    <w:basedOn w:val="900"/>
    <w:next w:val="900"/>
    <w:uiPriority w:val="39"/>
    <w:unhideWhenUsed/>
    <w:pPr>
      <w:ind w:left="0" w:right="0" w:firstLine="0"/>
      <w:spacing w:after="57"/>
    </w:pPr>
  </w:style>
  <w:style w:type="paragraph" w:styleId="890">
    <w:name w:val="toc 2"/>
    <w:basedOn w:val="900"/>
    <w:next w:val="900"/>
    <w:uiPriority w:val="39"/>
    <w:unhideWhenUsed/>
    <w:pPr>
      <w:ind w:left="283" w:right="0" w:firstLine="0"/>
      <w:spacing w:after="57"/>
    </w:pPr>
  </w:style>
  <w:style w:type="paragraph" w:styleId="891">
    <w:name w:val="toc 3"/>
    <w:basedOn w:val="900"/>
    <w:next w:val="900"/>
    <w:uiPriority w:val="39"/>
    <w:unhideWhenUsed/>
    <w:pPr>
      <w:ind w:left="567" w:right="0" w:firstLine="0"/>
      <w:spacing w:after="57"/>
    </w:pPr>
  </w:style>
  <w:style w:type="paragraph" w:styleId="892">
    <w:name w:val="toc 4"/>
    <w:basedOn w:val="900"/>
    <w:next w:val="900"/>
    <w:uiPriority w:val="39"/>
    <w:unhideWhenUsed/>
    <w:pPr>
      <w:ind w:left="850" w:right="0" w:firstLine="0"/>
      <w:spacing w:after="57"/>
    </w:pPr>
  </w:style>
  <w:style w:type="paragraph" w:styleId="893">
    <w:name w:val="toc 5"/>
    <w:basedOn w:val="900"/>
    <w:next w:val="900"/>
    <w:uiPriority w:val="39"/>
    <w:unhideWhenUsed/>
    <w:pPr>
      <w:ind w:left="1134" w:right="0" w:firstLine="0"/>
      <w:spacing w:after="57"/>
    </w:pPr>
  </w:style>
  <w:style w:type="paragraph" w:styleId="894">
    <w:name w:val="toc 6"/>
    <w:basedOn w:val="900"/>
    <w:next w:val="900"/>
    <w:uiPriority w:val="39"/>
    <w:unhideWhenUsed/>
    <w:pPr>
      <w:ind w:left="1417" w:right="0" w:firstLine="0"/>
      <w:spacing w:after="57"/>
    </w:pPr>
  </w:style>
  <w:style w:type="paragraph" w:styleId="895">
    <w:name w:val="toc 7"/>
    <w:basedOn w:val="900"/>
    <w:next w:val="900"/>
    <w:uiPriority w:val="39"/>
    <w:unhideWhenUsed/>
    <w:pPr>
      <w:ind w:left="1701" w:right="0" w:firstLine="0"/>
      <w:spacing w:after="57"/>
    </w:pPr>
  </w:style>
  <w:style w:type="paragraph" w:styleId="896">
    <w:name w:val="toc 8"/>
    <w:basedOn w:val="900"/>
    <w:next w:val="900"/>
    <w:uiPriority w:val="39"/>
    <w:unhideWhenUsed/>
    <w:pPr>
      <w:ind w:left="1984" w:right="0" w:firstLine="0"/>
      <w:spacing w:after="57"/>
    </w:pPr>
  </w:style>
  <w:style w:type="paragraph" w:styleId="897">
    <w:name w:val="toc 9"/>
    <w:basedOn w:val="900"/>
    <w:next w:val="900"/>
    <w:uiPriority w:val="39"/>
    <w:unhideWhenUsed/>
    <w:pPr>
      <w:ind w:left="2268" w:right="0" w:firstLine="0"/>
      <w:spacing w:after="57"/>
    </w:pPr>
  </w:style>
  <w:style w:type="paragraph" w:styleId="898">
    <w:name w:val="TOC Heading"/>
    <w:uiPriority w:val="39"/>
    <w:unhideWhenUsed/>
  </w:style>
  <w:style w:type="paragraph" w:styleId="899">
    <w:name w:val="table of figures"/>
    <w:basedOn w:val="900"/>
    <w:next w:val="900"/>
    <w:uiPriority w:val="99"/>
    <w:unhideWhenUsed/>
    <w:pPr>
      <w:spacing w:after="0" w:afterAutospacing="0"/>
    </w:pPr>
  </w:style>
  <w:style w:type="paragraph" w:styleId="900" w:default="1">
    <w:name w:val="Normal"/>
    <w:qFormat/>
    <w:rPr>
      <w:rFonts w:eastAsiaTheme="minorEastAsia"/>
      <w:lang w:eastAsia="ru-RU"/>
    </w:rPr>
  </w:style>
  <w:style w:type="character" w:styleId="901" w:default="1">
    <w:name w:val="Default Paragraph Font"/>
    <w:uiPriority w:val="1"/>
    <w:semiHidden/>
    <w:unhideWhenUsed/>
  </w:style>
  <w:style w:type="table" w:styleId="9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3" w:default="1">
    <w:name w:val="No List"/>
    <w:uiPriority w:val="99"/>
    <w:semiHidden/>
    <w:unhideWhenUsed/>
  </w:style>
  <w:style w:type="paragraph" w:styleId="904">
    <w:name w:val="List Paragraph"/>
    <w:basedOn w:val="900"/>
    <w:uiPriority w:val="34"/>
    <w:qFormat/>
    <w:pPr>
      <w:contextualSpacing/>
      <w:ind w:left="720"/>
    </w:pPr>
  </w:style>
  <w:style w:type="paragraph" w:styleId="905">
    <w:name w:val="Balloon Text"/>
    <w:basedOn w:val="900"/>
    <w:link w:val="90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06" w:customStyle="1">
    <w:name w:val="Текст выноски Знак"/>
    <w:basedOn w:val="901"/>
    <w:link w:val="905"/>
    <w:uiPriority w:val="99"/>
    <w:semiHidden/>
    <w:rPr>
      <w:rFonts w:ascii="Segoe UI" w:hAnsi="Segoe UI" w:cs="Segoe UI" w:eastAsiaTheme="minorEastAsia"/>
      <w:sz w:val="18"/>
      <w:szCs w:val="18"/>
      <w:lang w:eastAsia="ru-RU"/>
    </w:rPr>
  </w:style>
  <w:style w:type="paragraph" w:styleId="907">
    <w:name w:val="Header"/>
    <w:basedOn w:val="900"/>
    <w:link w:val="90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8" w:customStyle="1">
    <w:name w:val="Верхний колонтитул Знак"/>
    <w:basedOn w:val="901"/>
    <w:link w:val="907"/>
    <w:uiPriority w:val="99"/>
    <w:rPr>
      <w:rFonts w:eastAsiaTheme="minorEastAsia"/>
      <w:lang w:eastAsia="ru-RU"/>
    </w:rPr>
  </w:style>
  <w:style w:type="paragraph" w:styleId="909">
    <w:name w:val="Footer"/>
    <w:basedOn w:val="900"/>
    <w:link w:val="91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10" w:customStyle="1">
    <w:name w:val="Нижний колонтитул Знак"/>
    <w:basedOn w:val="901"/>
    <w:link w:val="909"/>
    <w:uiPriority w:val="99"/>
    <w:rPr>
      <w:rFonts w:eastAsiaTheme="minorEastAsia"/>
      <w:lang w:eastAsia="ru-RU"/>
    </w:rPr>
  </w:style>
  <w:style w:type="character" w:styleId="911">
    <w:name w:val="Hyperlink"/>
    <w:basedOn w:val="901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hyperlink" Target="mailto:zaprosMO@sogaz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R7-Office/7.3.3.59</Application>
  <Company>ВПП "Единая Россия"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Семичастная Елена Борисовна</dc:creator>
  <cp:keywords/>
  <dc:description/>
  <cp:lastModifiedBy>Рабочая группа</cp:lastModifiedBy>
  <cp:revision>13</cp:revision>
  <dcterms:created xsi:type="dcterms:W3CDTF">2023-08-24T10:18:00Z</dcterms:created>
  <dcterms:modified xsi:type="dcterms:W3CDTF">2023-09-18T15:49:22Z</dcterms:modified>
</cp:coreProperties>
</file>